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E96ADD">
      <w:pPr>
        <w:spacing w:line="700" w:lineRule="exact"/>
        <w:jc w:val="center"/>
        <w:rPr>
          <w:rFonts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水土保持科学与工程学院202</w:t>
      </w:r>
      <w:r>
        <w:rPr>
          <w:rFonts w:ascii="Cambria" w:hAnsi="Cambria" w:eastAsia="方正小标宋简体" w:cs="方正小标宋简体"/>
          <w:b w:val="0"/>
          <w:bCs w:val="0"/>
          <w:sz w:val="36"/>
          <w:szCs w:val="36"/>
        </w:rPr>
        <w:t>7</w:t>
      </w:r>
      <w:r>
        <w:rPr>
          <w:rFonts w:hint="eastAsia" w:ascii="方正小标宋简体" w:hAnsi="方正小标宋简体" w:eastAsia="方正小标宋简体" w:cs="方正小标宋简体"/>
          <w:b w:val="0"/>
          <w:bCs w:val="0"/>
          <w:sz w:val="36"/>
          <w:szCs w:val="36"/>
        </w:rPr>
        <w:t>年推荐优秀应届本科毕业生免试攻读研究生工作实施细则</w:t>
      </w:r>
    </w:p>
    <w:p w14:paraId="053A41D4">
      <w:pPr>
        <w:ind w:firstLine="640" w:firstLineChars="200"/>
        <w:rPr>
          <w:rFonts w:ascii="仿宋" w:hAnsi="仿宋" w:eastAsia="仿宋"/>
          <w:sz w:val="32"/>
          <w:szCs w:val="32"/>
        </w:rPr>
      </w:pPr>
    </w:p>
    <w:p w14:paraId="236ABF49">
      <w:pPr>
        <w:spacing w:line="560" w:lineRule="exact"/>
        <w:ind w:firstLine="640" w:firstLineChars="200"/>
      </w:pPr>
      <w:r>
        <w:rPr>
          <w:rFonts w:ascii="仿宋" w:hAnsi="仿宋" w:eastAsia="仿宋"/>
          <w:sz w:val="32"/>
          <w:szCs w:val="32"/>
        </w:rPr>
        <w:t>为进一步规范优秀应届本科毕业生免试攻读研究生（以下简称“推免生”）的推荐工作，加大拔尖创新人才选拔培养力度，根据《西北农林科技大学推荐优秀应届本科毕业生免试攻读研究生实施办法》（校研发〔20</w:t>
      </w:r>
      <w:r>
        <w:rPr>
          <w:rFonts w:hint="eastAsia" w:ascii="仿宋" w:hAnsi="仿宋" w:eastAsia="仿宋"/>
          <w:sz w:val="32"/>
          <w:szCs w:val="32"/>
        </w:rPr>
        <w:t>24</w:t>
      </w:r>
      <w:r>
        <w:rPr>
          <w:rFonts w:ascii="仿宋" w:hAnsi="仿宋" w:eastAsia="仿宋"/>
          <w:sz w:val="32"/>
          <w:szCs w:val="32"/>
        </w:rPr>
        <w:t>〕</w:t>
      </w:r>
      <w:r>
        <w:rPr>
          <w:rFonts w:hint="eastAsia" w:ascii="仿宋" w:hAnsi="仿宋" w:eastAsia="仿宋"/>
          <w:sz w:val="32"/>
          <w:szCs w:val="32"/>
        </w:rPr>
        <w:t>236</w:t>
      </w:r>
      <w:r>
        <w:rPr>
          <w:rFonts w:ascii="仿宋" w:hAnsi="仿宋" w:eastAsia="仿宋"/>
          <w:sz w:val="32"/>
          <w:szCs w:val="32"/>
        </w:rPr>
        <w:t>号</w:t>
      </w:r>
      <w:r>
        <w:rPr>
          <w:rFonts w:hint="eastAsia" w:ascii="仿宋" w:hAnsi="仿宋" w:eastAsia="仿宋"/>
          <w:sz w:val="32"/>
          <w:szCs w:val="32"/>
          <w:lang w:eastAsia="zh-CN"/>
        </w:rPr>
        <w:t>）的</w:t>
      </w:r>
      <w:r>
        <w:rPr>
          <w:rFonts w:ascii="仿宋" w:hAnsi="仿宋" w:eastAsia="仿宋"/>
          <w:sz w:val="32"/>
          <w:szCs w:val="32"/>
        </w:rPr>
        <w:t>有关规定，本着公平、公正、公开的原则，结合学院实际，</w:t>
      </w:r>
      <w:r>
        <w:rPr>
          <w:rFonts w:hint="eastAsia" w:ascii="仿宋" w:hAnsi="仿宋" w:eastAsia="仿宋"/>
          <w:sz w:val="32"/>
          <w:szCs w:val="32"/>
          <w:lang w:eastAsia="zh-CN"/>
        </w:rPr>
        <w:t>特制订</w:t>
      </w:r>
      <w:r>
        <w:rPr>
          <w:rFonts w:ascii="仿宋" w:hAnsi="仿宋" w:eastAsia="仿宋"/>
          <w:sz w:val="32"/>
          <w:szCs w:val="32"/>
        </w:rPr>
        <w:t>本实施细则。</w:t>
      </w:r>
    </w:p>
    <w:p w14:paraId="6A3931C0">
      <w:pPr>
        <w:spacing w:line="560" w:lineRule="exact"/>
        <w:ind w:firstLine="643" w:firstLineChars="200"/>
        <w:outlineLvl w:val="0"/>
        <w:rPr>
          <w:rFonts w:ascii="黑体" w:hAnsi="黑体" w:eastAsia="黑体"/>
          <w:sz w:val="32"/>
          <w:szCs w:val="32"/>
        </w:rPr>
      </w:pPr>
      <w:r>
        <w:rPr>
          <w:rFonts w:ascii="黑体" w:hAnsi="黑体" w:eastAsia="黑体"/>
          <w:b/>
          <w:bCs/>
          <w:sz w:val="32"/>
          <w:szCs w:val="32"/>
        </w:rPr>
        <w:t>一、组织机构</w:t>
      </w:r>
    </w:p>
    <w:p w14:paraId="11A8A800">
      <w:pPr>
        <w:spacing w:line="560" w:lineRule="exact"/>
        <w:ind w:firstLine="640" w:firstLineChars="200"/>
        <w:rPr>
          <w:rFonts w:ascii="仿宋" w:hAnsi="仿宋" w:eastAsia="仿宋"/>
          <w:sz w:val="32"/>
          <w:szCs w:val="32"/>
        </w:rPr>
      </w:pPr>
      <w:r>
        <w:rPr>
          <w:rFonts w:ascii="仿宋" w:hAnsi="仿宋" w:eastAsia="仿宋"/>
          <w:sz w:val="32"/>
          <w:szCs w:val="32"/>
        </w:rPr>
        <w:t>学院成立推免生遴选工作组</w:t>
      </w:r>
      <w:r>
        <w:rPr>
          <w:rFonts w:hint="eastAsia" w:ascii="仿宋" w:hAnsi="仿宋" w:eastAsia="仿宋"/>
          <w:sz w:val="32"/>
          <w:szCs w:val="32"/>
        </w:rPr>
        <w:t>和推免生遴选监督工作小组</w:t>
      </w:r>
      <w:r>
        <w:rPr>
          <w:rFonts w:ascii="仿宋" w:hAnsi="仿宋" w:eastAsia="仿宋"/>
          <w:sz w:val="32"/>
          <w:szCs w:val="32"/>
        </w:rPr>
        <w:t>，具体负责</w:t>
      </w:r>
      <w:r>
        <w:rPr>
          <w:rFonts w:hint="eastAsia" w:ascii="仿宋" w:hAnsi="仿宋" w:eastAsia="仿宋"/>
          <w:sz w:val="32"/>
          <w:szCs w:val="32"/>
        </w:rPr>
        <w:t>和监督</w:t>
      </w:r>
      <w:r>
        <w:rPr>
          <w:rFonts w:ascii="仿宋" w:hAnsi="仿宋" w:eastAsia="仿宋"/>
          <w:sz w:val="32"/>
          <w:szCs w:val="32"/>
        </w:rPr>
        <w:t>学院推免工作。</w:t>
      </w:r>
    </w:p>
    <w:p w14:paraId="0C40B309">
      <w:pPr>
        <w:spacing w:line="560" w:lineRule="exact"/>
        <w:ind w:firstLine="640" w:firstLineChars="200"/>
        <w:rPr>
          <w:rFonts w:ascii="仿宋" w:hAnsi="仿宋" w:eastAsia="仿宋"/>
          <w:sz w:val="32"/>
          <w:szCs w:val="32"/>
        </w:rPr>
      </w:pPr>
      <w:r>
        <w:rPr>
          <w:rFonts w:ascii="仿宋" w:hAnsi="仿宋" w:eastAsia="仿宋"/>
          <w:sz w:val="32"/>
          <w:szCs w:val="32"/>
        </w:rPr>
        <w:t>（一）</w:t>
      </w:r>
      <w:r>
        <w:rPr>
          <w:rFonts w:hint="eastAsia" w:ascii="仿宋" w:hAnsi="仿宋" w:eastAsia="仿宋"/>
          <w:sz w:val="32"/>
          <w:szCs w:val="32"/>
        </w:rPr>
        <w:t>工作组</w:t>
      </w:r>
    </w:p>
    <w:p w14:paraId="09BE2C8B">
      <w:pPr>
        <w:ind w:firstLine="640" w:firstLineChars="200"/>
        <w:rPr>
          <w:rFonts w:ascii="仿宋" w:hAnsi="仿宋" w:eastAsia="仿宋"/>
          <w:sz w:val="32"/>
          <w:szCs w:val="32"/>
        </w:rPr>
      </w:pPr>
      <w:r>
        <w:rPr>
          <w:rFonts w:ascii="仿宋" w:hAnsi="仿宋" w:eastAsia="仿宋"/>
          <w:sz w:val="32"/>
          <w:szCs w:val="32"/>
        </w:rPr>
        <w:t>组  长：</w:t>
      </w:r>
      <w:r>
        <w:rPr>
          <w:rFonts w:hint="eastAsia" w:ascii="仿宋" w:hAnsi="仿宋" w:eastAsia="仿宋"/>
          <w:sz w:val="32"/>
          <w:szCs w:val="32"/>
        </w:rPr>
        <w:t xml:space="preserve">冯 </w:t>
      </w:r>
      <w:r>
        <w:rPr>
          <w:rFonts w:ascii="仿宋" w:hAnsi="仿宋" w:eastAsia="仿宋"/>
          <w:sz w:val="32"/>
          <w:szCs w:val="32"/>
        </w:rPr>
        <w:t xml:space="preserve"> </w:t>
      </w:r>
      <w:r>
        <w:rPr>
          <w:rFonts w:hint="eastAsia" w:ascii="仿宋" w:hAnsi="仿宋" w:eastAsia="仿宋"/>
          <w:sz w:val="32"/>
          <w:szCs w:val="32"/>
        </w:rPr>
        <w:t xml:space="preserve">浩 </w:t>
      </w:r>
      <w:r>
        <w:rPr>
          <w:rFonts w:ascii="仿宋" w:hAnsi="仿宋" w:eastAsia="仿宋"/>
          <w:sz w:val="32"/>
          <w:szCs w:val="32"/>
        </w:rPr>
        <w:t xml:space="preserve"> </w:t>
      </w:r>
      <w:r>
        <w:rPr>
          <w:rFonts w:hint="eastAsia" w:ascii="仿宋" w:hAnsi="仿宋" w:eastAsia="仿宋"/>
          <w:sz w:val="32"/>
          <w:szCs w:val="32"/>
        </w:rPr>
        <w:t>陈帝伊</w:t>
      </w:r>
    </w:p>
    <w:p w14:paraId="00B33F68">
      <w:pPr>
        <w:ind w:firstLine="640" w:firstLineChars="200"/>
        <w:rPr>
          <w:rFonts w:ascii="仿宋" w:hAnsi="仿宋" w:eastAsia="仿宋"/>
          <w:sz w:val="32"/>
          <w:szCs w:val="32"/>
        </w:rPr>
      </w:pPr>
      <w:r>
        <w:rPr>
          <w:rFonts w:ascii="仿宋" w:hAnsi="仿宋" w:eastAsia="仿宋"/>
          <w:sz w:val="32"/>
          <w:szCs w:val="32"/>
        </w:rPr>
        <w:t>副组长：</w:t>
      </w:r>
      <w:r>
        <w:rPr>
          <w:rFonts w:hint="eastAsia" w:ascii="仿宋" w:hAnsi="仿宋" w:eastAsia="仿宋"/>
          <w:sz w:val="32"/>
          <w:szCs w:val="32"/>
        </w:rPr>
        <w:t xml:space="preserve">许明祥 </w:t>
      </w:r>
      <w:r>
        <w:rPr>
          <w:rFonts w:ascii="仿宋" w:hAnsi="仿宋" w:eastAsia="仿宋"/>
          <w:sz w:val="32"/>
          <w:szCs w:val="32"/>
        </w:rPr>
        <w:t xml:space="preserve"> 王  健  </w:t>
      </w:r>
      <w:r>
        <w:rPr>
          <w:rFonts w:hint="eastAsia" w:ascii="仿宋" w:hAnsi="仿宋" w:eastAsia="仿宋"/>
          <w:sz w:val="32"/>
          <w:szCs w:val="32"/>
        </w:rPr>
        <w:t xml:space="preserve">王 </w:t>
      </w:r>
      <w:r>
        <w:rPr>
          <w:rFonts w:ascii="仿宋" w:hAnsi="仿宋" w:eastAsia="仿宋"/>
          <w:sz w:val="32"/>
          <w:szCs w:val="32"/>
        </w:rPr>
        <w:t xml:space="preserve"> </w:t>
      </w:r>
      <w:r>
        <w:rPr>
          <w:rFonts w:hint="eastAsia" w:ascii="仿宋" w:hAnsi="仿宋" w:eastAsia="仿宋"/>
          <w:sz w:val="32"/>
          <w:szCs w:val="32"/>
        </w:rPr>
        <w:t>博</w:t>
      </w:r>
    </w:p>
    <w:p w14:paraId="34940056">
      <w:pPr>
        <w:spacing w:line="560" w:lineRule="exact"/>
        <w:ind w:firstLine="640" w:firstLineChars="200"/>
        <w:rPr>
          <w:rFonts w:ascii="仿宋" w:hAnsi="仿宋" w:eastAsia="仿宋"/>
          <w:sz w:val="32"/>
          <w:szCs w:val="32"/>
        </w:rPr>
      </w:pPr>
      <w:r>
        <w:rPr>
          <w:rFonts w:ascii="仿宋" w:hAnsi="仿宋" w:eastAsia="仿宋"/>
          <w:sz w:val="32"/>
          <w:szCs w:val="32"/>
        </w:rPr>
        <w:t>成  员：</w:t>
      </w:r>
      <w:r>
        <w:rPr>
          <w:rFonts w:hint="eastAsia" w:ascii="仿宋" w:hAnsi="仿宋" w:eastAsia="仿宋"/>
          <w:sz w:val="32"/>
          <w:szCs w:val="32"/>
        </w:rPr>
        <w:t>王  飞  魏孝荣  佟小刚  刘加彬</w:t>
      </w:r>
    </w:p>
    <w:p w14:paraId="28D77029">
      <w:pPr>
        <w:spacing w:line="560" w:lineRule="exact"/>
        <w:ind w:firstLine="1920" w:firstLineChars="600"/>
        <w:rPr>
          <w:rFonts w:ascii="仿宋" w:hAnsi="仿宋" w:eastAsia="仿宋"/>
          <w:sz w:val="32"/>
          <w:szCs w:val="32"/>
        </w:rPr>
      </w:pPr>
      <w:r>
        <w:rPr>
          <w:rFonts w:hint="eastAsia" w:ascii="仿宋" w:hAnsi="仿宋" w:eastAsia="仿宋"/>
          <w:sz w:val="32"/>
          <w:szCs w:val="32"/>
        </w:rPr>
        <w:t xml:space="preserve">王 </w:t>
      </w:r>
      <w:r>
        <w:rPr>
          <w:rFonts w:ascii="仿宋" w:hAnsi="仿宋" w:eastAsia="仿宋"/>
          <w:sz w:val="32"/>
          <w:szCs w:val="32"/>
        </w:rPr>
        <w:t xml:space="preserve"> </w:t>
      </w:r>
      <w:r>
        <w:rPr>
          <w:rFonts w:hint="eastAsia" w:ascii="仿宋" w:hAnsi="仿宋" w:eastAsia="仿宋"/>
          <w:sz w:val="32"/>
          <w:szCs w:val="32"/>
        </w:rPr>
        <w:t xml:space="preserve">浩 </w:t>
      </w:r>
      <w:r>
        <w:rPr>
          <w:rFonts w:ascii="仿宋" w:hAnsi="仿宋" w:eastAsia="仿宋"/>
          <w:sz w:val="32"/>
          <w:szCs w:val="32"/>
        </w:rPr>
        <w:t xml:space="preserve"> </w:t>
      </w:r>
      <w:r>
        <w:rPr>
          <w:rFonts w:hint="eastAsia" w:ascii="仿宋" w:hAnsi="仿宋" w:eastAsia="仿宋"/>
          <w:sz w:val="32"/>
          <w:szCs w:val="32"/>
        </w:rPr>
        <w:t xml:space="preserve">李红兵 </w:t>
      </w:r>
      <w:r>
        <w:rPr>
          <w:rFonts w:ascii="仿宋" w:hAnsi="仿宋" w:eastAsia="仿宋"/>
          <w:sz w:val="32"/>
          <w:szCs w:val="32"/>
        </w:rPr>
        <w:t xml:space="preserve"> </w:t>
      </w:r>
      <w:r>
        <w:rPr>
          <w:rFonts w:hint="eastAsia" w:ascii="仿宋" w:hAnsi="仿宋" w:eastAsia="仿宋"/>
          <w:sz w:val="32"/>
          <w:szCs w:val="32"/>
        </w:rPr>
        <w:t xml:space="preserve">姜  悦 </w:t>
      </w:r>
      <w:r>
        <w:rPr>
          <w:rFonts w:ascii="仿宋" w:hAnsi="仿宋" w:eastAsia="仿宋"/>
          <w:sz w:val="32"/>
          <w:szCs w:val="32"/>
        </w:rPr>
        <w:t xml:space="preserve"> </w:t>
      </w:r>
      <w:r>
        <w:rPr>
          <w:rFonts w:hint="eastAsia" w:ascii="仿宋" w:hAnsi="仿宋" w:eastAsia="仿宋"/>
          <w:sz w:val="32"/>
          <w:szCs w:val="32"/>
        </w:rPr>
        <w:t>祁  楠</w:t>
      </w:r>
    </w:p>
    <w:p w14:paraId="63925DF0">
      <w:pPr>
        <w:spacing w:line="560" w:lineRule="exact"/>
        <w:ind w:firstLine="1920" w:firstLineChars="600"/>
        <w:rPr>
          <w:rFonts w:ascii="仿宋" w:hAnsi="仿宋" w:eastAsia="仿宋"/>
          <w:sz w:val="32"/>
          <w:szCs w:val="32"/>
        </w:rPr>
      </w:pPr>
      <w:r>
        <w:rPr>
          <w:rFonts w:hint="eastAsia" w:ascii="仿宋" w:hAnsi="仿宋" w:eastAsia="仿宋"/>
          <w:sz w:val="32"/>
          <w:szCs w:val="32"/>
        </w:rPr>
        <w:t xml:space="preserve">武文斌 </w:t>
      </w:r>
      <w:r>
        <w:rPr>
          <w:rFonts w:ascii="仿宋" w:hAnsi="仿宋" w:eastAsia="仿宋"/>
          <w:sz w:val="32"/>
          <w:szCs w:val="32"/>
        </w:rPr>
        <w:t xml:space="preserve"> </w:t>
      </w:r>
      <w:r>
        <w:rPr>
          <w:rFonts w:hint="eastAsia" w:ascii="仿宋" w:hAnsi="仿宋" w:eastAsia="仿宋"/>
          <w:sz w:val="32"/>
          <w:szCs w:val="32"/>
        </w:rPr>
        <w:t xml:space="preserve">潘建睿 </w:t>
      </w:r>
      <w:r>
        <w:rPr>
          <w:rFonts w:ascii="仿宋" w:hAnsi="仿宋" w:eastAsia="仿宋"/>
          <w:sz w:val="32"/>
          <w:szCs w:val="32"/>
        </w:rPr>
        <w:t xml:space="preserve"> </w:t>
      </w:r>
      <w:r>
        <w:rPr>
          <w:rFonts w:hint="eastAsia" w:ascii="仿宋" w:hAnsi="仿宋" w:eastAsia="仿宋"/>
          <w:sz w:val="32"/>
          <w:szCs w:val="32"/>
        </w:rPr>
        <w:t xml:space="preserve">畅  媛 </w:t>
      </w:r>
      <w:r>
        <w:rPr>
          <w:rFonts w:ascii="仿宋" w:hAnsi="仿宋" w:eastAsia="仿宋"/>
          <w:sz w:val="32"/>
          <w:szCs w:val="32"/>
        </w:rPr>
        <w:t xml:space="preserve"> </w:t>
      </w:r>
      <w:r>
        <w:rPr>
          <w:rFonts w:hint="eastAsia" w:ascii="仿宋" w:hAnsi="仿宋" w:eastAsia="仿宋"/>
          <w:sz w:val="32"/>
          <w:szCs w:val="32"/>
        </w:rPr>
        <w:t>师娟娟</w:t>
      </w:r>
    </w:p>
    <w:p w14:paraId="43137C42">
      <w:pPr>
        <w:spacing w:line="560" w:lineRule="exact"/>
        <w:ind w:firstLine="640" w:firstLineChars="20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二</w:t>
      </w:r>
      <w:r>
        <w:rPr>
          <w:rFonts w:ascii="仿宋" w:hAnsi="仿宋" w:eastAsia="仿宋"/>
          <w:sz w:val="32"/>
          <w:szCs w:val="32"/>
        </w:rPr>
        <w:t>）</w:t>
      </w:r>
      <w:r>
        <w:rPr>
          <w:rFonts w:hint="eastAsia" w:ascii="仿宋" w:hAnsi="仿宋" w:eastAsia="仿宋"/>
          <w:sz w:val="32"/>
          <w:szCs w:val="32"/>
        </w:rPr>
        <w:t>监督工作小组</w:t>
      </w:r>
    </w:p>
    <w:p w14:paraId="29D63170">
      <w:pPr>
        <w:spacing w:line="560" w:lineRule="exact"/>
        <w:ind w:firstLine="640" w:firstLineChars="200"/>
        <w:rPr>
          <w:rFonts w:ascii="仿宋" w:hAnsi="仿宋" w:eastAsia="仿宋"/>
          <w:sz w:val="32"/>
          <w:szCs w:val="32"/>
        </w:rPr>
      </w:pPr>
      <w:r>
        <w:rPr>
          <w:rFonts w:hint="eastAsia" w:ascii="仿宋" w:hAnsi="仿宋" w:eastAsia="仿宋"/>
          <w:sz w:val="32"/>
          <w:szCs w:val="32"/>
        </w:rPr>
        <w:t>组  长：李小梅</w:t>
      </w:r>
    </w:p>
    <w:p w14:paraId="18520F92">
      <w:pPr>
        <w:ind w:firstLine="640" w:firstLineChars="200"/>
        <w:rPr>
          <w:rFonts w:ascii="仿宋" w:hAnsi="仿宋" w:eastAsia="仿宋"/>
          <w:sz w:val="32"/>
          <w:szCs w:val="32"/>
        </w:rPr>
      </w:pPr>
      <w:r>
        <w:rPr>
          <w:rFonts w:ascii="仿宋" w:hAnsi="仿宋" w:eastAsia="仿宋"/>
          <w:sz w:val="32"/>
          <w:szCs w:val="32"/>
        </w:rPr>
        <w:t>成  员：</w:t>
      </w:r>
      <w:r>
        <w:rPr>
          <w:rFonts w:hint="eastAsia" w:ascii="仿宋" w:hAnsi="仿宋" w:eastAsia="仿宋"/>
          <w:sz w:val="32"/>
          <w:szCs w:val="32"/>
        </w:rPr>
        <w:t xml:space="preserve">薛瑶芹 </w:t>
      </w:r>
      <w:r>
        <w:rPr>
          <w:rFonts w:ascii="仿宋" w:hAnsi="仿宋" w:eastAsia="仿宋"/>
          <w:sz w:val="32"/>
          <w:szCs w:val="32"/>
        </w:rPr>
        <w:t xml:space="preserve"> </w:t>
      </w:r>
      <w:r>
        <w:rPr>
          <w:rFonts w:hint="eastAsia" w:ascii="仿宋" w:hAnsi="仿宋" w:eastAsia="仿宋"/>
          <w:sz w:val="32"/>
          <w:szCs w:val="32"/>
        </w:rPr>
        <w:t xml:space="preserve">张体彬 </w:t>
      </w:r>
      <w:r>
        <w:rPr>
          <w:rFonts w:ascii="仿宋" w:hAnsi="仿宋" w:eastAsia="仿宋"/>
          <w:sz w:val="32"/>
          <w:szCs w:val="32"/>
        </w:rPr>
        <w:t xml:space="preserve"> </w:t>
      </w:r>
      <w:r>
        <w:rPr>
          <w:rFonts w:hint="eastAsia" w:ascii="仿宋" w:hAnsi="仿宋" w:eastAsia="仿宋"/>
          <w:sz w:val="32"/>
          <w:szCs w:val="32"/>
        </w:rPr>
        <w:t xml:space="preserve">杨世伟 </w:t>
      </w:r>
      <w:r>
        <w:rPr>
          <w:rFonts w:ascii="仿宋" w:hAnsi="仿宋" w:eastAsia="仿宋"/>
          <w:sz w:val="32"/>
          <w:szCs w:val="32"/>
        </w:rPr>
        <w:t xml:space="preserve"> </w:t>
      </w:r>
      <w:r>
        <w:rPr>
          <w:rFonts w:hint="eastAsia" w:ascii="仿宋" w:hAnsi="仿宋" w:eastAsia="仿宋"/>
          <w:sz w:val="32"/>
          <w:szCs w:val="32"/>
        </w:rPr>
        <w:t xml:space="preserve">姜 </w:t>
      </w:r>
      <w:r>
        <w:rPr>
          <w:rFonts w:ascii="仿宋" w:hAnsi="仿宋" w:eastAsia="仿宋"/>
          <w:sz w:val="32"/>
          <w:szCs w:val="32"/>
        </w:rPr>
        <w:t xml:space="preserve"> </w:t>
      </w:r>
      <w:r>
        <w:rPr>
          <w:rFonts w:hint="eastAsia" w:ascii="仿宋" w:hAnsi="仿宋" w:eastAsia="仿宋"/>
          <w:sz w:val="32"/>
          <w:szCs w:val="32"/>
        </w:rPr>
        <w:t>鹏</w:t>
      </w:r>
    </w:p>
    <w:p w14:paraId="6B414686">
      <w:pPr>
        <w:ind w:firstLine="1920" w:firstLineChars="600"/>
        <w:rPr>
          <w:rFonts w:ascii="仿宋" w:hAnsi="仿宋" w:eastAsia="仿宋"/>
          <w:sz w:val="32"/>
          <w:szCs w:val="32"/>
        </w:rPr>
      </w:pPr>
      <w:r>
        <w:rPr>
          <w:rFonts w:hint="eastAsia" w:ascii="仿宋" w:hAnsi="仿宋" w:eastAsia="仿宋"/>
          <w:sz w:val="32"/>
          <w:szCs w:val="32"/>
        </w:rPr>
        <w:t xml:space="preserve">胡斐南 </w:t>
      </w:r>
      <w:r>
        <w:rPr>
          <w:rFonts w:ascii="仿宋" w:hAnsi="仿宋" w:eastAsia="仿宋"/>
          <w:sz w:val="32"/>
          <w:szCs w:val="32"/>
        </w:rPr>
        <w:t xml:space="preserve"> </w:t>
      </w:r>
      <w:r>
        <w:rPr>
          <w:rFonts w:hint="eastAsia" w:ascii="仿宋" w:hAnsi="仿宋" w:eastAsia="仿宋"/>
          <w:sz w:val="32"/>
          <w:szCs w:val="32"/>
        </w:rPr>
        <w:t>王鹏飞</w:t>
      </w:r>
    </w:p>
    <w:p w14:paraId="2A3A75E8">
      <w:pPr>
        <w:ind w:firstLine="640" w:firstLineChars="200"/>
        <w:rPr>
          <w:rFonts w:ascii="仿宋" w:hAnsi="仿宋" w:eastAsia="仿宋"/>
          <w:sz w:val="32"/>
          <w:szCs w:val="32"/>
        </w:rPr>
      </w:pPr>
      <w:r>
        <w:rPr>
          <w:rFonts w:hint="eastAsia" w:ascii="仿宋" w:hAnsi="仿宋" w:eastAsia="仿宋"/>
          <w:sz w:val="32"/>
          <w:szCs w:val="32"/>
        </w:rPr>
        <w:t>监督电话：0</w:t>
      </w:r>
      <w:r>
        <w:rPr>
          <w:rFonts w:ascii="仿宋" w:hAnsi="仿宋" w:eastAsia="仿宋"/>
          <w:sz w:val="32"/>
          <w:szCs w:val="32"/>
        </w:rPr>
        <w:t>29-87080155</w:t>
      </w:r>
      <w:r>
        <w:rPr>
          <w:rFonts w:hint="eastAsia" w:ascii="仿宋" w:hAnsi="仿宋" w:eastAsia="仿宋"/>
          <w:sz w:val="32"/>
          <w:szCs w:val="32"/>
        </w:rPr>
        <w:t>（学校）；0</w:t>
      </w:r>
      <w:r>
        <w:rPr>
          <w:rFonts w:ascii="仿宋" w:hAnsi="仿宋" w:eastAsia="仿宋"/>
          <w:sz w:val="32"/>
          <w:szCs w:val="32"/>
        </w:rPr>
        <w:t>29-87012875</w:t>
      </w:r>
      <w:r>
        <w:rPr>
          <w:rFonts w:hint="eastAsia" w:ascii="仿宋" w:hAnsi="仿宋" w:eastAsia="仿宋"/>
          <w:sz w:val="32"/>
          <w:szCs w:val="32"/>
        </w:rPr>
        <w:t>（学院）</w:t>
      </w:r>
    </w:p>
    <w:p w14:paraId="2D304460">
      <w:pPr>
        <w:ind w:firstLine="640" w:firstLineChars="200"/>
        <w:rPr>
          <w:rFonts w:ascii="仿宋" w:hAnsi="仿宋" w:eastAsia="仿宋"/>
          <w:sz w:val="32"/>
          <w:szCs w:val="32"/>
        </w:rPr>
      </w:pPr>
      <w:r>
        <w:rPr>
          <w:rFonts w:hint="eastAsia" w:ascii="仿宋" w:hAnsi="仿宋" w:eastAsia="仿宋"/>
          <w:sz w:val="32"/>
          <w:szCs w:val="32"/>
        </w:rPr>
        <w:t>邮箱：</w:t>
      </w:r>
      <w:r>
        <w:fldChar w:fldCharType="begin"/>
      </w:r>
      <w:r>
        <w:instrText xml:space="preserve"> HYPERLINK "mailto:ybgsh@nwafu.edu.cn；rjb@iswc.ac.cn" </w:instrText>
      </w:r>
      <w:r>
        <w:fldChar w:fldCharType="separate"/>
      </w:r>
      <w:r>
        <w:rPr>
          <w:rStyle w:val="9"/>
          <w:rFonts w:hint="eastAsia" w:ascii="仿宋" w:hAnsi="仿宋" w:eastAsia="仿宋"/>
          <w:sz w:val="32"/>
          <w:szCs w:val="32"/>
        </w:rPr>
        <w:t>ybgsh@nwafu.edu.cn；</w:t>
      </w:r>
      <w:r>
        <w:rPr>
          <w:rStyle w:val="9"/>
          <w:rFonts w:ascii="仿宋" w:hAnsi="仿宋" w:eastAsia="仿宋"/>
          <w:sz w:val="32"/>
          <w:szCs w:val="32"/>
        </w:rPr>
        <w:t>rjb@iswc.ac.cn</w:t>
      </w:r>
      <w:r>
        <w:rPr>
          <w:rStyle w:val="9"/>
          <w:rFonts w:ascii="仿宋" w:hAnsi="仿宋" w:eastAsia="仿宋"/>
          <w:sz w:val="32"/>
          <w:szCs w:val="32"/>
        </w:rPr>
        <w:fldChar w:fldCharType="end"/>
      </w:r>
    </w:p>
    <w:p w14:paraId="64FAD230">
      <w:pPr>
        <w:spacing w:line="560" w:lineRule="exact"/>
        <w:ind w:firstLine="643" w:firstLineChars="200"/>
        <w:outlineLvl w:val="0"/>
        <w:rPr>
          <w:rFonts w:ascii="黑体" w:hAnsi="黑体" w:eastAsia="黑体"/>
          <w:b/>
          <w:bCs/>
          <w:sz w:val="32"/>
          <w:szCs w:val="32"/>
        </w:rPr>
      </w:pPr>
      <w:r>
        <w:rPr>
          <w:rFonts w:hint="eastAsia" w:ascii="黑体" w:hAnsi="黑体" w:eastAsia="黑体"/>
          <w:b/>
          <w:bCs/>
          <w:sz w:val="32"/>
          <w:szCs w:val="32"/>
        </w:rPr>
        <w:t>二、推荐指标分配</w:t>
      </w:r>
    </w:p>
    <w:p w14:paraId="1B360222">
      <w:pPr>
        <w:spacing w:line="560" w:lineRule="exact"/>
        <w:ind w:firstLine="640" w:firstLineChars="200"/>
        <w:rPr>
          <w:rFonts w:ascii="仿宋" w:hAnsi="仿宋" w:eastAsia="仿宋"/>
          <w:sz w:val="32"/>
          <w:szCs w:val="32"/>
        </w:rPr>
      </w:pPr>
      <w:r>
        <w:rPr>
          <w:rFonts w:ascii="仿宋" w:hAnsi="仿宋" w:eastAsia="仿宋"/>
          <w:sz w:val="32"/>
          <w:szCs w:val="32"/>
        </w:rPr>
        <w:t>2027</w:t>
      </w:r>
      <w:r>
        <w:rPr>
          <w:rFonts w:hint="eastAsia" w:ascii="仿宋" w:hAnsi="仿宋" w:eastAsia="仿宋"/>
          <w:sz w:val="32"/>
          <w:szCs w:val="32"/>
        </w:rPr>
        <w:t>年学校下达我院推荐优秀应届本科毕业生免试攻读</w:t>
      </w:r>
      <w:r>
        <w:rPr>
          <w:rFonts w:hint="eastAsia" w:ascii="仿宋" w:hAnsi="仿宋" w:eastAsia="仿宋"/>
          <w:sz w:val="32"/>
          <w:szCs w:val="32"/>
          <w:lang w:eastAsia="zh-CN"/>
        </w:rPr>
        <w:t>研究生</w:t>
      </w:r>
      <w:r>
        <w:rPr>
          <w:rFonts w:hint="eastAsia" w:ascii="仿宋" w:hAnsi="仿宋" w:eastAsia="仿宋"/>
          <w:sz w:val="32"/>
          <w:szCs w:val="32"/>
        </w:rPr>
        <w:t>指标</w:t>
      </w:r>
      <w:r>
        <w:rPr>
          <w:rFonts w:ascii="仿宋" w:hAnsi="仿宋" w:eastAsia="仿宋"/>
          <w:sz w:val="32"/>
          <w:szCs w:val="32"/>
        </w:rPr>
        <w:t>2</w:t>
      </w:r>
      <w:r>
        <w:rPr>
          <w:rFonts w:hint="eastAsia" w:ascii="仿宋" w:hAnsi="仿宋" w:eastAsia="仿宋"/>
          <w:sz w:val="32"/>
          <w:szCs w:val="32"/>
          <w:lang w:val="en-US" w:eastAsia="zh-CN"/>
        </w:rPr>
        <w:t>6</w:t>
      </w:r>
      <w:r>
        <w:rPr>
          <w:rFonts w:hint="eastAsia" w:ascii="仿宋" w:hAnsi="仿宋" w:eastAsia="仿宋"/>
          <w:sz w:val="32"/>
          <w:szCs w:val="32"/>
        </w:rPr>
        <w:t>名，其中普通推免</w:t>
      </w:r>
      <w:r>
        <w:rPr>
          <w:rFonts w:ascii="仿宋" w:hAnsi="仿宋" w:eastAsia="仿宋"/>
          <w:sz w:val="32"/>
          <w:szCs w:val="32"/>
        </w:rPr>
        <w:t>13</w:t>
      </w:r>
      <w:r>
        <w:rPr>
          <w:rFonts w:hint="eastAsia" w:ascii="仿宋" w:hAnsi="仿宋" w:eastAsia="仿宋"/>
          <w:sz w:val="32"/>
          <w:szCs w:val="32"/>
        </w:rPr>
        <w:t>名（包括普通推免</w:t>
      </w:r>
      <w:r>
        <w:rPr>
          <w:rFonts w:ascii="仿宋" w:hAnsi="仿宋" w:eastAsia="仿宋"/>
          <w:sz w:val="32"/>
          <w:szCs w:val="32"/>
        </w:rPr>
        <w:t>11</w:t>
      </w:r>
      <w:r>
        <w:rPr>
          <w:rFonts w:hint="eastAsia" w:ascii="仿宋" w:hAnsi="仿宋" w:eastAsia="仿宋"/>
          <w:sz w:val="32"/>
          <w:szCs w:val="32"/>
        </w:rPr>
        <w:t>名，推免工作奖励及考试指标</w:t>
      </w:r>
      <w:r>
        <w:rPr>
          <w:rFonts w:ascii="仿宋" w:hAnsi="仿宋" w:eastAsia="仿宋"/>
          <w:sz w:val="32"/>
          <w:szCs w:val="32"/>
        </w:rPr>
        <w:t>2</w:t>
      </w:r>
      <w:r>
        <w:rPr>
          <w:rFonts w:hint="eastAsia" w:ascii="仿宋" w:hAnsi="仿宋" w:eastAsia="仿宋"/>
          <w:sz w:val="32"/>
          <w:szCs w:val="32"/>
        </w:rPr>
        <w:t>名）；</w:t>
      </w:r>
      <w:r>
        <w:rPr>
          <w:rFonts w:hint="eastAsia" w:ascii="仿宋" w:hAnsi="仿宋" w:eastAsia="仿宋"/>
          <w:sz w:val="32"/>
          <w:szCs w:val="32"/>
          <w:lang w:eastAsia="zh-CN"/>
        </w:rPr>
        <w:t>“一流学科团队及草食家畜育种全国重点实验室（筹）”专项</w:t>
      </w:r>
      <w:r>
        <w:rPr>
          <w:rFonts w:hint="eastAsia" w:ascii="仿宋" w:hAnsi="仿宋" w:eastAsia="仿宋"/>
          <w:sz w:val="32"/>
          <w:szCs w:val="32"/>
        </w:rPr>
        <w:t>推免指标</w:t>
      </w:r>
      <w:r>
        <w:rPr>
          <w:rFonts w:ascii="仿宋" w:hAnsi="仿宋" w:eastAsia="仿宋"/>
          <w:sz w:val="32"/>
          <w:szCs w:val="32"/>
        </w:rPr>
        <w:t>1</w:t>
      </w:r>
      <w:r>
        <w:rPr>
          <w:rFonts w:hint="eastAsia" w:ascii="仿宋" w:hAnsi="仿宋" w:eastAsia="仿宋"/>
          <w:sz w:val="32"/>
          <w:szCs w:val="32"/>
          <w:lang w:val="en-US" w:eastAsia="zh-CN"/>
        </w:rPr>
        <w:t>3</w:t>
      </w:r>
      <w:r>
        <w:rPr>
          <w:rFonts w:hint="eastAsia" w:ascii="仿宋" w:hAnsi="仿宋" w:eastAsia="仿宋"/>
          <w:sz w:val="32"/>
          <w:szCs w:val="32"/>
        </w:rPr>
        <w:t>名。</w:t>
      </w:r>
      <w:bookmarkStart w:id="1" w:name="_GoBack"/>
      <w:bookmarkEnd w:id="1"/>
    </w:p>
    <w:p w14:paraId="15AB3516">
      <w:pPr>
        <w:spacing w:line="560" w:lineRule="exact"/>
        <w:ind w:firstLine="643" w:firstLineChars="200"/>
        <w:outlineLvl w:val="0"/>
        <w:rPr>
          <w:rFonts w:ascii="黑体" w:hAnsi="黑体" w:eastAsia="黑体"/>
          <w:sz w:val="32"/>
          <w:szCs w:val="32"/>
        </w:rPr>
      </w:pPr>
      <w:r>
        <w:rPr>
          <w:rFonts w:hint="eastAsia" w:ascii="黑体" w:hAnsi="黑体" w:eastAsia="黑体"/>
          <w:b/>
          <w:bCs/>
          <w:sz w:val="32"/>
          <w:szCs w:val="32"/>
        </w:rPr>
        <w:t>三</w:t>
      </w:r>
      <w:r>
        <w:rPr>
          <w:rFonts w:ascii="黑体" w:hAnsi="黑体" w:eastAsia="黑体"/>
          <w:b/>
          <w:bCs/>
          <w:sz w:val="32"/>
          <w:szCs w:val="32"/>
        </w:rPr>
        <w:t>、遴选条件</w:t>
      </w:r>
    </w:p>
    <w:p w14:paraId="664FBAA0">
      <w:pPr>
        <w:spacing w:line="560" w:lineRule="exact"/>
        <w:ind w:firstLine="640" w:firstLineChars="200"/>
        <w:rPr>
          <w:rFonts w:ascii="仿宋" w:hAnsi="仿宋" w:eastAsia="仿宋"/>
          <w:sz w:val="32"/>
          <w:szCs w:val="32"/>
        </w:rPr>
      </w:pPr>
      <w:r>
        <w:rPr>
          <w:rFonts w:ascii="仿宋" w:hAnsi="仿宋" w:eastAsia="仿宋"/>
          <w:sz w:val="32"/>
          <w:szCs w:val="32"/>
        </w:rPr>
        <w:t>推免生遴选基本条件如下：</w:t>
      </w:r>
    </w:p>
    <w:p w14:paraId="15C0995D">
      <w:pPr>
        <w:spacing w:line="560" w:lineRule="exact"/>
        <w:ind w:firstLine="640" w:firstLineChars="200"/>
        <w:rPr>
          <w:rFonts w:ascii="仿宋" w:hAnsi="仿宋" w:eastAsia="仿宋"/>
          <w:sz w:val="32"/>
          <w:szCs w:val="32"/>
        </w:rPr>
      </w:pPr>
      <w:r>
        <w:rPr>
          <w:rFonts w:ascii="仿宋" w:hAnsi="仿宋" w:eastAsia="仿宋"/>
          <w:sz w:val="32"/>
          <w:szCs w:val="32"/>
        </w:rPr>
        <w:t>（一）拥护中国共产党的领导和社会主义制度，具有高尚的爱国主义情操和集体主义精神，社会责任感强，遵纪守法，积极向上，身心健康；</w:t>
      </w:r>
    </w:p>
    <w:p w14:paraId="78965600">
      <w:pPr>
        <w:spacing w:line="560" w:lineRule="exact"/>
        <w:ind w:firstLine="640" w:firstLineChars="200"/>
        <w:rPr>
          <w:rFonts w:ascii="仿宋" w:hAnsi="仿宋" w:eastAsia="仿宋"/>
          <w:sz w:val="32"/>
          <w:szCs w:val="32"/>
        </w:rPr>
      </w:pPr>
      <w:r>
        <w:rPr>
          <w:rFonts w:ascii="仿宋" w:hAnsi="仿宋" w:eastAsia="仿宋"/>
          <w:sz w:val="32"/>
          <w:szCs w:val="32"/>
        </w:rPr>
        <w:t>（二）诚实守信，学风端正，品行优良，无考试作弊或剽窃他人学术成果等学术不端行为；</w:t>
      </w:r>
    </w:p>
    <w:p w14:paraId="51B71EB6">
      <w:pPr>
        <w:spacing w:line="560" w:lineRule="exact"/>
        <w:ind w:firstLine="640" w:firstLineChars="200"/>
        <w:rPr>
          <w:rFonts w:ascii="仿宋" w:hAnsi="仿宋" w:eastAsia="仿宋"/>
          <w:sz w:val="32"/>
          <w:szCs w:val="32"/>
        </w:rPr>
      </w:pPr>
      <w:r>
        <w:rPr>
          <w:rFonts w:ascii="仿宋" w:hAnsi="仿宋" w:eastAsia="仿宋"/>
          <w:sz w:val="32"/>
          <w:szCs w:val="32"/>
        </w:rPr>
        <w:t xml:space="preserve">（三）获得本科前三学年应修课程全部学分，且课程学分成绩排名在专业年级前50%； </w:t>
      </w:r>
    </w:p>
    <w:p w14:paraId="5206ACF2">
      <w:pPr>
        <w:spacing w:line="560" w:lineRule="exact"/>
        <w:ind w:firstLine="640" w:firstLineChars="200"/>
        <w:rPr>
          <w:rFonts w:ascii="仿宋" w:hAnsi="仿宋" w:eastAsia="仿宋"/>
          <w:sz w:val="32"/>
          <w:szCs w:val="32"/>
        </w:rPr>
      </w:pPr>
      <w:r>
        <w:rPr>
          <w:rFonts w:ascii="仿宋" w:hAnsi="仿宋" w:eastAsia="仿宋"/>
          <w:sz w:val="32"/>
          <w:szCs w:val="32"/>
        </w:rPr>
        <w:t>（四）外语成绩：全国英语四级考试成绩在425分及以上或外语小语种四级成绩在60分及以上；</w:t>
      </w:r>
    </w:p>
    <w:p w14:paraId="237A465D">
      <w:pPr>
        <w:spacing w:line="560" w:lineRule="exact"/>
        <w:ind w:firstLine="640" w:firstLineChars="200"/>
        <w:rPr>
          <w:rFonts w:ascii="仿宋" w:hAnsi="仿宋" w:eastAsia="仿宋"/>
          <w:sz w:val="32"/>
          <w:szCs w:val="32"/>
        </w:rPr>
      </w:pPr>
      <w:r>
        <w:rPr>
          <w:rFonts w:ascii="仿宋" w:hAnsi="仿宋" w:eastAsia="仿宋"/>
          <w:sz w:val="32"/>
          <w:szCs w:val="32"/>
        </w:rPr>
        <w:t>（五）具有从事科学研究志向，具有较强的创新意识、创新潜质和创新能力，且符合各遴选单位科研潜质考核要求</w:t>
      </w:r>
      <w:r>
        <w:rPr>
          <w:rFonts w:hint="eastAsia" w:ascii="仿宋" w:hAnsi="仿宋" w:eastAsia="仿宋"/>
          <w:sz w:val="32"/>
          <w:szCs w:val="32"/>
        </w:rPr>
        <w:t>；</w:t>
      </w:r>
    </w:p>
    <w:p w14:paraId="7301CB20">
      <w:pPr>
        <w:spacing w:line="560" w:lineRule="exact"/>
        <w:ind w:firstLine="640" w:firstLineChars="200"/>
        <w:rPr>
          <w:rFonts w:ascii="仿宋" w:hAnsi="仿宋" w:eastAsia="仿宋"/>
          <w:sz w:val="32"/>
          <w:szCs w:val="32"/>
        </w:rPr>
      </w:pPr>
      <w:r>
        <w:rPr>
          <w:rFonts w:hint="eastAsia" w:ascii="仿宋" w:hAnsi="仿宋" w:eastAsia="仿宋"/>
          <w:sz w:val="32"/>
          <w:szCs w:val="32"/>
        </w:rPr>
        <w:t>（六）</w:t>
      </w:r>
      <w:r>
        <w:rPr>
          <w:rFonts w:ascii="仿宋" w:hAnsi="仿宋" w:eastAsia="仿宋"/>
          <w:sz w:val="32"/>
          <w:szCs w:val="32"/>
        </w:rPr>
        <w:t>应届本科毕业生且本科前三学年（五年制本科为前四学年）国家学生体质健康标准测试（简称体测）合格，均可申请相应推荐资格</w:t>
      </w:r>
      <w:r>
        <w:rPr>
          <w:rFonts w:hint="eastAsia" w:ascii="仿宋" w:hAnsi="仿宋" w:eastAsia="仿宋"/>
          <w:sz w:val="32"/>
          <w:szCs w:val="32"/>
        </w:rPr>
        <w:t>。</w:t>
      </w:r>
    </w:p>
    <w:p w14:paraId="1D3C6016">
      <w:pPr>
        <w:spacing w:line="560" w:lineRule="exact"/>
        <w:ind w:firstLine="643" w:firstLineChars="200"/>
        <w:rPr>
          <w:rFonts w:ascii="黑体" w:hAnsi="黑体" w:eastAsia="黑体"/>
          <w:sz w:val="32"/>
          <w:szCs w:val="32"/>
        </w:rPr>
      </w:pPr>
      <w:r>
        <w:rPr>
          <w:rFonts w:hint="eastAsia" w:ascii="黑体" w:hAnsi="黑体" w:eastAsia="黑体"/>
          <w:b/>
          <w:bCs/>
          <w:sz w:val="32"/>
          <w:szCs w:val="32"/>
        </w:rPr>
        <w:t>四</w:t>
      </w:r>
      <w:r>
        <w:rPr>
          <w:rFonts w:ascii="黑体" w:hAnsi="黑体" w:eastAsia="黑体"/>
          <w:b/>
          <w:bCs/>
          <w:sz w:val="32"/>
          <w:szCs w:val="32"/>
        </w:rPr>
        <w:t>、工作程序</w:t>
      </w:r>
    </w:p>
    <w:p w14:paraId="3F576EA1">
      <w:pPr>
        <w:spacing w:line="560" w:lineRule="exact"/>
        <w:ind w:firstLine="643" w:firstLineChars="200"/>
        <w:rPr>
          <w:rFonts w:ascii="仿宋" w:hAnsi="仿宋" w:eastAsia="仿宋"/>
          <w:sz w:val="32"/>
          <w:szCs w:val="32"/>
        </w:rPr>
      </w:pPr>
      <w:r>
        <w:rPr>
          <w:rFonts w:hint="eastAsia" w:ascii="楷体_GB2312" w:hAnsi="仿宋" w:eastAsia="楷体_GB2312"/>
          <w:b/>
          <w:bCs/>
          <w:sz w:val="32"/>
          <w:szCs w:val="32"/>
        </w:rPr>
        <w:t>（一）公布学院推免工作实施细则。</w:t>
      </w:r>
      <w:r>
        <w:rPr>
          <w:rFonts w:ascii="仿宋" w:hAnsi="仿宋" w:eastAsia="仿宋"/>
          <w:sz w:val="32"/>
          <w:szCs w:val="32"/>
        </w:rPr>
        <w:t>推免生遴选工作小组应根据学校推免政策，结合学院实际制定推免工作实施细则并公布。推免工作实施细则经公示且无异议，报研究生院审核、备案。</w:t>
      </w:r>
    </w:p>
    <w:p w14:paraId="664ACE60">
      <w:pPr>
        <w:spacing w:line="560" w:lineRule="exact"/>
        <w:ind w:firstLine="643" w:firstLineChars="200"/>
        <w:rPr>
          <w:rFonts w:ascii="仿宋" w:hAnsi="仿宋" w:eastAsia="仿宋"/>
          <w:sz w:val="32"/>
          <w:szCs w:val="32"/>
        </w:rPr>
      </w:pPr>
      <w:r>
        <w:rPr>
          <w:rFonts w:hint="eastAsia" w:ascii="楷体_GB2312" w:hAnsi="仿宋" w:eastAsia="楷体_GB2312"/>
          <w:b/>
          <w:bCs/>
          <w:sz w:val="32"/>
          <w:szCs w:val="32"/>
        </w:rPr>
        <w:t>（二）名单公布。</w:t>
      </w:r>
      <w:r>
        <w:rPr>
          <w:rFonts w:ascii="仿宋" w:hAnsi="仿宋" w:eastAsia="仿宋"/>
          <w:sz w:val="32"/>
          <w:szCs w:val="32"/>
        </w:rPr>
        <w:t>学院根据推免工作实施细则，按程序和标准确定符合遴选条件学生名单</w:t>
      </w:r>
      <w:r>
        <w:rPr>
          <w:rFonts w:hint="eastAsia" w:ascii="仿宋" w:hAnsi="仿宋" w:eastAsia="仿宋"/>
          <w:sz w:val="32"/>
          <w:szCs w:val="32"/>
        </w:rPr>
        <w:t>，并在学院网站公布。</w:t>
      </w:r>
    </w:p>
    <w:p w14:paraId="091958BE">
      <w:pPr>
        <w:spacing w:line="560" w:lineRule="exact"/>
        <w:ind w:firstLine="643" w:firstLineChars="200"/>
        <w:rPr>
          <w:rFonts w:ascii="仿宋" w:hAnsi="仿宋" w:eastAsia="仿宋"/>
          <w:sz w:val="32"/>
          <w:szCs w:val="32"/>
        </w:rPr>
      </w:pPr>
      <w:r>
        <w:rPr>
          <w:rFonts w:hint="eastAsia" w:ascii="楷体_GB2312" w:hAnsi="仿宋" w:eastAsia="楷体_GB2312"/>
          <w:b/>
          <w:bCs/>
          <w:sz w:val="32"/>
          <w:szCs w:val="32"/>
        </w:rPr>
        <w:t>（三）个人申请。</w:t>
      </w:r>
      <w:r>
        <w:rPr>
          <w:rFonts w:ascii="仿宋" w:hAnsi="仿宋" w:eastAsia="仿宋"/>
          <w:sz w:val="32"/>
          <w:szCs w:val="32"/>
        </w:rPr>
        <w:t>符合基本条件且持有导师推荐信的学生向学院及相关专项遴选单位提出申请，填写推免资格申请表、推荐免试攻读研究生承诺书，承诺书经主管院长签字确认后提交</w:t>
      </w:r>
      <w:r>
        <w:rPr>
          <w:rFonts w:hint="eastAsia" w:ascii="仿宋" w:hAnsi="仿宋" w:eastAsia="仿宋"/>
          <w:sz w:val="32"/>
          <w:szCs w:val="32"/>
        </w:rPr>
        <w:t>学院保管</w:t>
      </w:r>
      <w:r>
        <w:rPr>
          <w:rFonts w:ascii="仿宋" w:hAnsi="仿宋" w:eastAsia="仿宋"/>
          <w:sz w:val="32"/>
          <w:szCs w:val="32"/>
        </w:rPr>
        <w:t>。</w:t>
      </w:r>
    </w:p>
    <w:p w14:paraId="0A52809A">
      <w:pPr>
        <w:spacing w:line="560" w:lineRule="exact"/>
        <w:ind w:firstLine="643" w:firstLineChars="200"/>
        <w:rPr>
          <w:rFonts w:ascii="仿宋" w:hAnsi="仿宋" w:eastAsia="仿宋"/>
          <w:sz w:val="32"/>
          <w:szCs w:val="32"/>
        </w:rPr>
      </w:pPr>
      <w:r>
        <w:rPr>
          <w:rFonts w:hint="eastAsia" w:ascii="楷体_GB2312" w:hAnsi="仿宋" w:eastAsia="楷体_GB2312"/>
          <w:b/>
          <w:bCs/>
          <w:sz w:val="32"/>
          <w:szCs w:val="32"/>
        </w:rPr>
        <w:t>（四）学院审核。</w:t>
      </w:r>
      <w:r>
        <w:rPr>
          <w:rFonts w:ascii="仿宋" w:hAnsi="仿宋" w:eastAsia="仿宋"/>
          <w:sz w:val="32"/>
          <w:szCs w:val="32"/>
        </w:rPr>
        <w:t>学院推免生遴选工作小组根据本实施细则对申请者的相关材料进行审核，</w:t>
      </w:r>
      <w:r>
        <w:rPr>
          <w:rFonts w:hint="eastAsia" w:ascii="仿宋" w:hAnsi="仿宋" w:eastAsia="仿宋"/>
          <w:sz w:val="32"/>
          <w:szCs w:val="32"/>
        </w:rPr>
        <w:t>并参考心理测试结果，对符合条件</w:t>
      </w:r>
      <w:r>
        <w:rPr>
          <w:rFonts w:ascii="仿宋" w:hAnsi="仿宋" w:eastAsia="仿宋"/>
          <w:sz w:val="32"/>
          <w:szCs w:val="32"/>
        </w:rPr>
        <w:t>申请推免的</w:t>
      </w:r>
      <w:r>
        <w:rPr>
          <w:rFonts w:hint="eastAsia" w:ascii="仿宋" w:hAnsi="仿宋" w:eastAsia="仿宋"/>
          <w:sz w:val="32"/>
          <w:szCs w:val="32"/>
        </w:rPr>
        <w:t>学生</w:t>
      </w:r>
      <w:r>
        <w:rPr>
          <w:rFonts w:ascii="仿宋" w:hAnsi="仿宋" w:eastAsia="仿宋"/>
          <w:sz w:val="32"/>
          <w:szCs w:val="32"/>
        </w:rPr>
        <w:t>进行</w:t>
      </w:r>
      <w:r>
        <w:rPr>
          <w:rFonts w:hint="eastAsia" w:ascii="仿宋" w:hAnsi="仿宋" w:eastAsia="仿宋"/>
          <w:sz w:val="32"/>
          <w:szCs w:val="32"/>
        </w:rPr>
        <w:t>综合考查、排名</w:t>
      </w:r>
      <w:r>
        <w:rPr>
          <w:rFonts w:ascii="仿宋" w:hAnsi="仿宋" w:eastAsia="仿宋"/>
          <w:sz w:val="32"/>
          <w:szCs w:val="32"/>
        </w:rPr>
        <w:t>，在学院网站公示遴选出的推免生名单（含姓名、专业、综合考核成绩等），公示期为3日。公示期间名单不得修改，名单如有变动，需对变动部分</w:t>
      </w:r>
      <w:r>
        <w:rPr>
          <w:rFonts w:hint="eastAsia" w:ascii="仿宋" w:hAnsi="仿宋" w:eastAsia="仿宋"/>
          <w:sz w:val="32"/>
          <w:szCs w:val="32"/>
          <w:lang w:eastAsia="zh-CN"/>
        </w:rPr>
        <w:t>作出</w:t>
      </w:r>
      <w:r>
        <w:rPr>
          <w:rFonts w:ascii="仿宋" w:hAnsi="仿宋" w:eastAsia="仿宋"/>
          <w:sz w:val="32"/>
          <w:szCs w:val="32"/>
        </w:rPr>
        <w:t>说明，并对变动内容另行公示3日。</w:t>
      </w:r>
    </w:p>
    <w:p w14:paraId="38E6F082">
      <w:pPr>
        <w:spacing w:line="560" w:lineRule="exact"/>
        <w:ind w:firstLine="643" w:firstLineChars="200"/>
        <w:rPr>
          <w:rFonts w:ascii="仿宋" w:hAnsi="仿宋" w:eastAsia="仿宋"/>
          <w:sz w:val="32"/>
          <w:szCs w:val="32"/>
        </w:rPr>
      </w:pPr>
      <w:r>
        <w:rPr>
          <w:rFonts w:hint="eastAsia" w:ascii="楷体_GB2312" w:hAnsi="仿宋" w:eastAsia="楷体_GB2312"/>
          <w:b/>
          <w:bCs/>
          <w:sz w:val="32"/>
          <w:szCs w:val="32"/>
        </w:rPr>
        <w:t>（五）学校复审。</w:t>
      </w:r>
      <w:r>
        <w:rPr>
          <w:rFonts w:ascii="仿宋" w:hAnsi="仿宋" w:eastAsia="仿宋"/>
          <w:sz w:val="32"/>
          <w:szCs w:val="32"/>
        </w:rPr>
        <w:t>学院将经过公示的名单报研究生院，研究生院将推免生名单交教务处、学生处复审，确认无误、无异议后，研究生院将推免生名单提交学校推免生遴选工作领导小组审核。</w:t>
      </w:r>
    </w:p>
    <w:p w14:paraId="797655B0">
      <w:pPr>
        <w:spacing w:line="560" w:lineRule="exact"/>
        <w:ind w:firstLine="643" w:firstLineChars="200"/>
        <w:outlineLvl w:val="0"/>
        <w:rPr>
          <w:rFonts w:ascii="黑体" w:hAnsi="黑体" w:eastAsia="黑体"/>
          <w:sz w:val="32"/>
          <w:szCs w:val="32"/>
        </w:rPr>
      </w:pPr>
      <w:r>
        <w:rPr>
          <w:rFonts w:hint="eastAsia" w:ascii="黑体" w:hAnsi="黑体" w:eastAsia="黑体"/>
          <w:b/>
          <w:bCs/>
          <w:sz w:val="32"/>
          <w:szCs w:val="32"/>
        </w:rPr>
        <w:t>五</w:t>
      </w:r>
      <w:r>
        <w:rPr>
          <w:rFonts w:ascii="黑体" w:hAnsi="黑体" w:eastAsia="黑体"/>
          <w:b/>
          <w:bCs/>
          <w:sz w:val="32"/>
          <w:szCs w:val="32"/>
        </w:rPr>
        <w:t>、推荐生综合考核成绩评定办法</w:t>
      </w:r>
    </w:p>
    <w:p w14:paraId="4738EE26">
      <w:pPr>
        <w:spacing w:line="560" w:lineRule="exact"/>
        <w:ind w:firstLine="640" w:firstLineChars="200"/>
        <w:rPr>
          <w:rFonts w:ascii="仿宋" w:hAnsi="仿宋" w:eastAsia="仿宋"/>
          <w:sz w:val="32"/>
          <w:szCs w:val="32"/>
        </w:rPr>
      </w:pPr>
      <w:r>
        <w:rPr>
          <w:rFonts w:ascii="仿宋" w:hAnsi="仿宋" w:eastAsia="仿宋"/>
          <w:sz w:val="32"/>
          <w:szCs w:val="32"/>
        </w:rPr>
        <w:t>符合推荐条件且申请推荐资格的学生，学院从思想政治品德、学业成绩、科研潜质三个方面进行综合考核，考核总成绩满分为100分，其中思想政治品德考核成绩占总成绩的10%、学业成绩占总成绩的40%、科研潜质考核成绩占总成绩的50%。申请者根据综合考</w:t>
      </w:r>
      <w:r>
        <w:rPr>
          <w:rFonts w:hint="eastAsia" w:ascii="仿宋" w:hAnsi="仿宋" w:eastAsia="仿宋"/>
          <w:sz w:val="32"/>
          <w:szCs w:val="32"/>
        </w:rPr>
        <w:t>查</w:t>
      </w:r>
      <w:r>
        <w:rPr>
          <w:rFonts w:ascii="仿宋" w:hAnsi="仿宋" w:eastAsia="仿宋"/>
          <w:sz w:val="32"/>
          <w:szCs w:val="32"/>
        </w:rPr>
        <w:t>成绩</w:t>
      </w:r>
      <w:r>
        <w:rPr>
          <w:rFonts w:hint="eastAsia" w:ascii="仿宋" w:hAnsi="仿宋" w:eastAsia="仿宋"/>
          <w:sz w:val="32"/>
          <w:szCs w:val="32"/>
          <w:lang w:eastAsia="zh-CN"/>
        </w:rPr>
        <w:t>进行评定</w:t>
      </w:r>
      <w:r>
        <w:rPr>
          <w:rFonts w:ascii="仿宋" w:hAnsi="仿宋" w:eastAsia="仿宋"/>
          <w:sz w:val="32"/>
          <w:szCs w:val="32"/>
        </w:rPr>
        <w:t>，在各专业范围内从高到低依次排序确定推免资格；如有放弃者，依次递补；如遇综合考核成绩相同者，依次依据</w:t>
      </w:r>
      <w:r>
        <w:rPr>
          <w:rFonts w:hint="eastAsia" w:ascii="仿宋" w:hAnsi="仿宋" w:eastAsia="仿宋"/>
          <w:sz w:val="32"/>
          <w:szCs w:val="32"/>
        </w:rPr>
        <w:t>综合考查</w:t>
      </w:r>
      <w:r>
        <w:rPr>
          <w:rFonts w:ascii="仿宋" w:hAnsi="仿宋" w:eastAsia="仿宋"/>
          <w:sz w:val="32"/>
          <w:szCs w:val="32"/>
        </w:rPr>
        <w:t>和外语水平考核成绩进行排序。</w:t>
      </w:r>
    </w:p>
    <w:p w14:paraId="27AC1341">
      <w:pPr>
        <w:spacing w:line="560" w:lineRule="exact"/>
        <w:ind w:firstLine="640" w:firstLineChars="200"/>
        <w:rPr>
          <w:rFonts w:ascii="仿宋" w:hAnsi="仿宋" w:eastAsia="仿宋"/>
          <w:sz w:val="32"/>
          <w:szCs w:val="32"/>
        </w:rPr>
      </w:pPr>
      <w:r>
        <w:rPr>
          <w:rFonts w:ascii="仿宋" w:hAnsi="仿宋" w:eastAsia="仿宋"/>
          <w:sz w:val="32"/>
          <w:szCs w:val="32"/>
        </w:rPr>
        <w:t>总成绩的计算公式如下：</w:t>
      </w:r>
    </w:p>
    <w:p w14:paraId="2A4AC0C2">
      <w:pPr>
        <w:spacing w:line="560" w:lineRule="exact"/>
        <w:ind w:firstLine="640" w:firstLineChars="200"/>
        <w:rPr>
          <w:rFonts w:ascii="仿宋" w:hAnsi="仿宋" w:eastAsia="仿宋"/>
          <w:sz w:val="32"/>
          <w:szCs w:val="32"/>
        </w:rPr>
      </w:pPr>
      <w:r>
        <w:rPr>
          <w:rFonts w:ascii="仿宋" w:hAnsi="仿宋" w:eastAsia="仿宋"/>
          <w:sz w:val="32"/>
          <w:szCs w:val="32"/>
        </w:rPr>
        <w:t>Z=0.1A+0.4B+0.5C</w:t>
      </w:r>
    </w:p>
    <w:p w14:paraId="7ACF757C">
      <w:pPr>
        <w:spacing w:line="560" w:lineRule="exact"/>
        <w:ind w:firstLine="640" w:firstLineChars="200"/>
        <w:rPr>
          <w:rFonts w:ascii="仿宋" w:hAnsi="仿宋" w:eastAsia="仿宋"/>
          <w:sz w:val="32"/>
          <w:szCs w:val="32"/>
        </w:rPr>
      </w:pPr>
      <w:r>
        <w:rPr>
          <w:rFonts w:ascii="仿宋" w:hAnsi="仿宋" w:eastAsia="仿宋"/>
          <w:sz w:val="32"/>
          <w:szCs w:val="32"/>
        </w:rPr>
        <w:t>公式中：</w:t>
      </w:r>
    </w:p>
    <w:p w14:paraId="727B69CB">
      <w:pPr>
        <w:spacing w:line="560" w:lineRule="exact"/>
        <w:ind w:firstLine="640" w:firstLineChars="200"/>
        <w:outlineLvl w:val="1"/>
        <w:rPr>
          <w:rFonts w:ascii="仿宋" w:hAnsi="仿宋" w:eastAsia="仿宋"/>
          <w:sz w:val="32"/>
          <w:szCs w:val="32"/>
        </w:rPr>
      </w:pPr>
      <w:r>
        <w:rPr>
          <w:rFonts w:ascii="仿宋" w:hAnsi="仿宋" w:eastAsia="仿宋"/>
          <w:sz w:val="32"/>
          <w:szCs w:val="32"/>
        </w:rPr>
        <w:t>Z</w:t>
      </w:r>
      <w:r>
        <w:rPr>
          <w:rFonts w:hint="eastAsia" w:ascii="仿宋" w:hAnsi="仿宋" w:eastAsia="仿宋"/>
          <w:sz w:val="32"/>
          <w:szCs w:val="32"/>
          <w:lang w:eastAsia="zh-CN"/>
        </w:rPr>
        <w:t>：</w:t>
      </w:r>
      <w:r>
        <w:rPr>
          <w:rFonts w:ascii="仿宋" w:hAnsi="仿宋" w:eastAsia="仿宋"/>
          <w:sz w:val="32"/>
          <w:szCs w:val="32"/>
        </w:rPr>
        <w:t>总成绩。</w:t>
      </w:r>
    </w:p>
    <w:p w14:paraId="06C8C90A">
      <w:pPr>
        <w:spacing w:line="560" w:lineRule="exact"/>
        <w:ind w:firstLine="640" w:firstLineChars="200"/>
        <w:rPr>
          <w:rFonts w:ascii="仿宋" w:hAnsi="仿宋" w:eastAsia="仿宋"/>
          <w:sz w:val="32"/>
          <w:szCs w:val="32"/>
        </w:rPr>
      </w:pPr>
      <w:r>
        <w:rPr>
          <w:rFonts w:ascii="仿宋" w:hAnsi="仿宋" w:eastAsia="仿宋"/>
          <w:sz w:val="32"/>
          <w:szCs w:val="32"/>
        </w:rPr>
        <w:t>A：思想政治品德考核成绩，满分为100分，由思政课成绩与综合测评德育成绩两部分组成，各占50%。其中，思政课成绩为大学期间所有思政课成绩的加权平均分（满分100分）、综测德育成绩为各学年综合测评德育成绩的算术平均分，核算办法如下：</w:t>
      </w:r>
    </w:p>
    <w:p w14:paraId="104A1403">
      <w:pPr>
        <w:rPr>
          <w:rFonts w:ascii="仿宋" w:hAnsi="仿宋" w:eastAsia="仿宋"/>
          <w:sz w:val="32"/>
          <w:szCs w:val="32"/>
        </w:rPr>
      </w:pPr>
      <w:r>
        <w:rPr>
          <w:rFonts w:ascii="微软雅黑" w:hAnsi="微软雅黑" w:eastAsia="微软雅黑"/>
          <w:sz w:val="24"/>
          <w:szCs w:val="24"/>
        </w:rPr>
        <w:drawing>
          <wp:inline distT="0" distB="0" distL="0" distR="0">
            <wp:extent cx="5274310" cy="8058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4310" cy="806368"/>
                    </a:xfrm>
                    <a:prstGeom prst="rect">
                      <a:avLst/>
                    </a:prstGeom>
                  </pic:spPr>
                </pic:pic>
              </a:graphicData>
            </a:graphic>
          </wp:inline>
        </w:drawing>
      </w:r>
    </w:p>
    <w:p w14:paraId="0FD27EED">
      <w:pPr>
        <w:spacing w:line="560" w:lineRule="exact"/>
        <w:ind w:firstLine="636" w:firstLineChars="199"/>
        <w:rPr>
          <w:rFonts w:ascii="仿宋" w:hAnsi="仿宋" w:eastAsia="仿宋"/>
          <w:sz w:val="32"/>
          <w:szCs w:val="32"/>
        </w:rPr>
      </w:pPr>
      <w:r>
        <w:rPr>
          <w:rFonts w:ascii="仿宋" w:hAnsi="仿宋" w:eastAsia="仿宋"/>
          <w:sz w:val="32"/>
          <w:szCs w:val="32"/>
        </w:rPr>
        <w:t>B</w:t>
      </w:r>
      <w:r>
        <w:rPr>
          <w:rFonts w:hint="eastAsia" w:ascii="仿宋" w:hAnsi="仿宋" w:eastAsia="仿宋"/>
          <w:sz w:val="32"/>
          <w:szCs w:val="32"/>
          <w:lang w:eastAsia="zh-CN"/>
        </w:rPr>
        <w:t>：</w:t>
      </w:r>
      <w:r>
        <w:rPr>
          <w:rFonts w:ascii="仿宋" w:hAnsi="仿宋" w:eastAsia="仿宋"/>
          <w:sz w:val="32"/>
          <w:szCs w:val="32"/>
        </w:rPr>
        <w:t>学业成绩，满分为100分，为学生前三学年应修课程全部学分的平均分，核算办法如下：</w:t>
      </w:r>
    </w:p>
    <w:p w14:paraId="632EC7BB">
      <w:pPr>
        <w:ind w:firstLine="960" w:firstLineChars="300"/>
        <w:rPr>
          <w:rFonts w:ascii="仿宋" w:hAnsi="仿宋" w:eastAsia="仿宋"/>
          <w:sz w:val="32"/>
          <w:szCs w:val="32"/>
        </w:rPr>
      </w:pPr>
      <w:r>
        <w:rPr>
          <w:rFonts w:hint="eastAsia" w:ascii="仿宋" w:hAnsi="仿宋" w:eastAsia="仿宋"/>
          <w:sz w:val="32"/>
          <w:szCs w:val="32"/>
        </w:rPr>
        <w:t xml:space="preserve">B= </w:t>
      </w:r>
      <w:r>
        <w:drawing>
          <wp:inline distT="0" distB="0" distL="114300" distR="114300">
            <wp:extent cx="2202815" cy="307975"/>
            <wp:effectExtent l="0" t="0" r="6985" b="1206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rcRect r="15473" b="411"/>
                    <a:stretch>
                      <a:fillRect/>
                    </a:stretch>
                  </pic:blipFill>
                  <pic:spPr>
                    <a:xfrm>
                      <a:off x="0" y="0"/>
                      <a:ext cx="2202815" cy="307975"/>
                    </a:xfrm>
                    <a:prstGeom prst="rect">
                      <a:avLst/>
                    </a:prstGeom>
                    <a:noFill/>
                    <a:ln w="9525">
                      <a:noFill/>
                    </a:ln>
                  </pic:spPr>
                </pic:pic>
              </a:graphicData>
            </a:graphic>
          </wp:inline>
        </w:drawing>
      </w:r>
    </w:p>
    <w:p w14:paraId="55DC5917">
      <w:pPr>
        <w:spacing w:line="560" w:lineRule="exact"/>
        <w:ind w:firstLine="640" w:firstLineChars="200"/>
        <w:rPr>
          <w:rFonts w:ascii="仿宋" w:hAnsi="仿宋" w:eastAsia="仿宋"/>
          <w:sz w:val="32"/>
          <w:szCs w:val="32"/>
        </w:rPr>
      </w:pPr>
      <w:r>
        <w:rPr>
          <w:rFonts w:ascii="仿宋" w:hAnsi="仿宋" w:eastAsia="仿宋"/>
          <w:sz w:val="32"/>
          <w:szCs w:val="32"/>
        </w:rPr>
        <w:t>C：科研潜质考核成绩，满分为100分，由外语水平考核、创新能力考核和</w:t>
      </w:r>
      <w:r>
        <w:rPr>
          <w:rFonts w:hint="eastAsia" w:ascii="仿宋" w:hAnsi="仿宋" w:eastAsia="仿宋"/>
          <w:sz w:val="32"/>
          <w:szCs w:val="32"/>
        </w:rPr>
        <w:t>综合考查</w:t>
      </w:r>
      <w:r>
        <w:rPr>
          <w:rFonts w:ascii="仿宋" w:hAnsi="仿宋" w:eastAsia="仿宋"/>
          <w:sz w:val="32"/>
          <w:szCs w:val="32"/>
        </w:rPr>
        <w:t>三部分组成。其中外语水平考核占</w:t>
      </w:r>
      <w:r>
        <w:rPr>
          <w:rFonts w:hint="eastAsia" w:ascii="仿宋" w:hAnsi="仿宋" w:eastAsia="仿宋"/>
          <w:sz w:val="32"/>
          <w:szCs w:val="32"/>
        </w:rPr>
        <w:t>1</w:t>
      </w:r>
      <w:r>
        <w:rPr>
          <w:rFonts w:ascii="仿宋" w:hAnsi="仿宋" w:eastAsia="仿宋"/>
          <w:sz w:val="32"/>
          <w:szCs w:val="32"/>
        </w:rPr>
        <w:t>0%，创新能力考核占</w:t>
      </w:r>
      <w:r>
        <w:rPr>
          <w:rFonts w:hint="eastAsia" w:ascii="仿宋" w:hAnsi="仿宋" w:eastAsia="仿宋"/>
          <w:sz w:val="32"/>
          <w:szCs w:val="32"/>
        </w:rPr>
        <w:t>4</w:t>
      </w:r>
      <w:r>
        <w:rPr>
          <w:rFonts w:ascii="仿宋" w:hAnsi="仿宋" w:eastAsia="仿宋"/>
          <w:sz w:val="32"/>
          <w:szCs w:val="32"/>
        </w:rPr>
        <w:t>0%，</w:t>
      </w:r>
      <w:r>
        <w:rPr>
          <w:rFonts w:hint="eastAsia" w:ascii="仿宋" w:hAnsi="仿宋" w:eastAsia="仿宋"/>
          <w:sz w:val="32"/>
          <w:szCs w:val="32"/>
        </w:rPr>
        <w:t>综合考查</w:t>
      </w:r>
      <w:r>
        <w:rPr>
          <w:rFonts w:ascii="仿宋" w:hAnsi="仿宋" w:eastAsia="仿宋"/>
          <w:sz w:val="32"/>
          <w:szCs w:val="32"/>
        </w:rPr>
        <w:t>占50%。</w:t>
      </w:r>
    </w:p>
    <w:p w14:paraId="527AEDB9">
      <w:pPr>
        <w:spacing w:line="560" w:lineRule="exact"/>
        <w:ind w:firstLine="640" w:firstLineChars="200"/>
        <w:rPr>
          <w:rFonts w:ascii="仿宋" w:hAnsi="仿宋" w:eastAsia="仿宋"/>
          <w:sz w:val="32"/>
          <w:szCs w:val="32"/>
        </w:rPr>
      </w:pPr>
      <w:r>
        <w:rPr>
          <w:rFonts w:ascii="仿宋" w:hAnsi="仿宋" w:eastAsia="仿宋"/>
          <w:sz w:val="32"/>
          <w:szCs w:val="32"/>
        </w:rPr>
        <w:t>C=外语水平成绩×</w:t>
      </w:r>
      <w:r>
        <w:rPr>
          <w:rFonts w:hint="eastAsia" w:ascii="仿宋" w:hAnsi="仿宋" w:eastAsia="仿宋"/>
          <w:sz w:val="32"/>
          <w:szCs w:val="32"/>
        </w:rPr>
        <w:t>1</w:t>
      </w:r>
      <w:r>
        <w:rPr>
          <w:rFonts w:ascii="仿宋" w:hAnsi="仿宋" w:eastAsia="仿宋"/>
          <w:sz w:val="32"/>
          <w:szCs w:val="32"/>
        </w:rPr>
        <w:t>0%+创新能力成绩×</w:t>
      </w:r>
      <w:r>
        <w:rPr>
          <w:rFonts w:hint="eastAsia" w:ascii="仿宋" w:hAnsi="仿宋" w:eastAsia="仿宋"/>
          <w:sz w:val="32"/>
          <w:szCs w:val="32"/>
        </w:rPr>
        <w:t>4</w:t>
      </w:r>
      <w:r>
        <w:rPr>
          <w:rFonts w:ascii="仿宋" w:hAnsi="仿宋" w:eastAsia="仿宋"/>
          <w:sz w:val="32"/>
          <w:szCs w:val="32"/>
        </w:rPr>
        <w:t>0%+</w:t>
      </w:r>
      <w:r>
        <w:rPr>
          <w:rFonts w:hint="eastAsia" w:ascii="仿宋" w:hAnsi="仿宋" w:eastAsia="仿宋"/>
          <w:sz w:val="32"/>
          <w:szCs w:val="32"/>
        </w:rPr>
        <w:t>综合考查</w:t>
      </w:r>
      <w:r>
        <w:rPr>
          <w:rFonts w:ascii="仿宋" w:hAnsi="仿宋" w:eastAsia="仿宋"/>
          <w:sz w:val="32"/>
          <w:szCs w:val="32"/>
        </w:rPr>
        <w:t>成绩×50%。</w:t>
      </w:r>
    </w:p>
    <w:p w14:paraId="1B7F5E86">
      <w:pPr>
        <w:spacing w:line="560" w:lineRule="exact"/>
        <w:ind w:firstLine="643" w:firstLineChars="200"/>
        <w:outlineLvl w:val="1"/>
        <w:rPr>
          <w:rFonts w:ascii="楷体_GB2312" w:hAnsi="仿宋" w:eastAsia="楷体_GB2312"/>
          <w:b/>
          <w:bCs/>
          <w:sz w:val="32"/>
          <w:szCs w:val="32"/>
        </w:rPr>
      </w:pPr>
      <w:r>
        <w:rPr>
          <w:rFonts w:hint="eastAsia" w:ascii="楷体_GB2312" w:hAnsi="仿宋" w:eastAsia="楷体_GB2312"/>
          <w:b/>
          <w:bCs/>
          <w:sz w:val="32"/>
          <w:szCs w:val="32"/>
        </w:rPr>
        <w:t>（一）外语水平成绩核算标准</w:t>
      </w:r>
    </w:p>
    <w:p w14:paraId="48F72A77">
      <w:pPr>
        <w:spacing w:line="560" w:lineRule="exact"/>
        <w:ind w:firstLine="562"/>
        <w:rPr>
          <w:rFonts w:ascii="仿宋" w:hAnsi="仿宋" w:eastAsia="仿宋"/>
          <w:sz w:val="32"/>
          <w:szCs w:val="32"/>
        </w:rPr>
      </w:pPr>
      <w:r>
        <w:rPr>
          <w:rFonts w:ascii="仿宋" w:hAnsi="仿宋" w:eastAsia="仿宋"/>
          <w:sz w:val="32"/>
          <w:szCs w:val="32"/>
        </w:rPr>
        <w:t>通过CET-4得60分，通过CET-6得80分，IELTS、TOEFL、GRE、GMAT等考试成绩（按照国际交流处报销规定执行）得100分。外语等级评定分值不累加，只取最高得分。</w:t>
      </w:r>
    </w:p>
    <w:p w14:paraId="53F2E077">
      <w:pPr>
        <w:spacing w:line="560" w:lineRule="exact"/>
        <w:ind w:firstLine="643" w:firstLineChars="200"/>
        <w:outlineLvl w:val="1"/>
        <w:rPr>
          <w:rFonts w:ascii="楷体_GB2312" w:hAnsi="仿宋" w:eastAsia="楷体_GB2312"/>
          <w:b/>
          <w:bCs/>
          <w:sz w:val="32"/>
          <w:szCs w:val="32"/>
        </w:rPr>
      </w:pPr>
      <w:r>
        <w:rPr>
          <w:rFonts w:hint="eastAsia" w:ascii="楷体_GB2312" w:hAnsi="仿宋" w:eastAsia="楷体_GB2312"/>
          <w:b/>
          <w:bCs/>
          <w:sz w:val="32"/>
          <w:szCs w:val="32"/>
        </w:rPr>
        <w:t>（二）创新能力成绩核算标准</w:t>
      </w:r>
    </w:p>
    <w:p w14:paraId="5BDAD30C">
      <w:pPr>
        <w:pStyle w:val="5"/>
        <w:spacing w:before="0" w:after="0" w:line="560" w:lineRule="exact"/>
        <w:ind w:firstLine="640" w:firstLineChars="200"/>
        <w:jc w:val="both"/>
        <w:outlineLvl w:val="9"/>
        <w:rPr>
          <w:rFonts w:ascii="仿宋" w:hAnsi="仿宋" w:eastAsia="仿宋" w:cstheme="minorBidi"/>
          <w:b w:val="0"/>
          <w:bCs w:val="0"/>
        </w:rPr>
      </w:pPr>
      <w:r>
        <w:rPr>
          <w:rFonts w:ascii="仿宋" w:hAnsi="仿宋" w:eastAsia="仿宋" w:cstheme="minorBidi"/>
          <w:b w:val="0"/>
          <w:bCs w:val="0"/>
        </w:rPr>
        <w:t>创新能力包括发表学术论文、获批发明专利、学科竞赛获奖、大学生创新创业训练项目完成情况、参与社会实践情况</w:t>
      </w:r>
      <w:r>
        <w:rPr>
          <w:rFonts w:hint="eastAsia" w:ascii="仿宋" w:hAnsi="仿宋" w:eastAsia="仿宋" w:cstheme="minorBidi"/>
          <w:b w:val="0"/>
          <w:bCs w:val="0"/>
        </w:rPr>
        <w:t>等七</w:t>
      </w:r>
      <w:r>
        <w:rPr>
          <w:rFonts w:ascii="仿宋" w:hAnsi="仿宋" w:eastAsia="仿宋" w:cstheme="minorBidi"/>
          <w:b w:val="0"/>
          <w:bCs w:val="0"/>
        </w:rPr>
        <w:t>部分。</w:t>
      </w:r>
      <w:r>
        <w:rPr>
          <w:rFonts w:hint="eastAsia" w:ascii="仿宋" w:hAnsi="仿宋" w:eastAsia="仿宋" w:cstheme="minorBidi"/>
          <w:b w:val="0"/>
          <w:bCs w:val="0"/>
        </w:rPr>
        <w:t>以上所有加分项均须由导师或指导教师签字确认方为有效。</w:t>
      </w:r>
      <w:r>
        <w:rPr>
          <w:rFonts w:ascii="仿宋" w:hAnsi="仿宋" w:eastAsia="仿宋" w:cstheme="minorBidi"/>
          <w:b w:val="0"/>
          <w:bCs w:val="0"/>
        </w:rPr>
        <w:t>若创新能力评定得分累计超过100分，则按照100分计算，具体计分方法如下。</w:t>
      </w:r>
    </w:p>
    <w:p w14:paraId="0EF8F83C">
      <w:pPr>
        <w:pStyle w:val="5"/>
        <w:spacing w:before="0" w:after="0" w:line="560" w:lineRule="exact"/>
        <w:ind w:firstLine="643" w:firstLineChars="200"/>
        <w:jc w:val="both"/>
        <w:outlineLvl w:val="9"/>
        <w:rPr>
          <w:rFonts w:ascii="仿宋" w:hAnsi="仿宋" w:eastAsia="仿宋" w:cstheme="minorBidi"/>
          <w:bCs w:val="0"/>
        </w:rPr>
      </w:pPr>
      <w:r>
        <w:rPr>
          <w:rFonts w:ascii="仿宋" w:hAnsi="仿宋" w:eastAsia="仿宋" w:cstheme="minorBidi"/>
          <w:bCs w:val="0"/>
        </w:rPr>
        <w:t>1.发表学术论文</w:t>
      </w:r>
    </w:p>
    <w:p w14:paraId="7AAA3F71">
      <w:pPr>
        <w:pStyle w:val="5"/>
        <w:spacing w:before="0" w:after="0" w:line="560" w:lineRule="exact"/>
        <w:ind w:firstLine="640" w:firstLineChars="200"/>
        <w:jc w:val="both"/>
        <w:outlineLvl w:val="9"/>
        <w:rPr>
          <w:rFonts w:ascii="仿宋" w:hAnsi="仿宋" w:eastAsia="仿宋" w:cstheme="minorBidi"/>
          <w:b w:val="0"/>
          <w:bCs w:val="0"/>
        </w:rPr>
      </w:pPr>
      <w:r>
        <w:rPr>
          <w:rFonts w:hint="eastAsia" w:ascii="仿宋" w:hAnsi="仿宋" w:eastAsia="仿宋" w:cstheme="minorBidi"/>
          <w:b w:val="0"/>
          <w:bCs w:val="0"/>
          <w:lang w:eastAsia="zh-CN"/>
        </w:rPr>
        <w:t>截止</w:t>
      </w:r>
      <w:r>
        <w:rPr>
          <w:rFonts w:ascii="仿宋" w:hAnsi="仿宋" w:eastAsia="仿宋" w:cstheme="minorBidi"/>
          <w:b w:val="0"/>
          <w:bCs w:val="0"/>
        </w:rPr>
        <w:t>该年度9月7日，申请者在</w:t>
      </w:r>
      <w:r>
        <w:rPr>
          <w:rFonts w:hint="eastAsia" w:ascii="仿宋" w:hAnsi="仿宋" w:eastAsia="仿宋" w:cstheme="minorBidi"/>
          <w:b w:val="0"/>
          <w:bCs w:val="0"/>
        </w:rPr>
        <w:t>本人</w:t>
      </w:r>
      <w:r>
        <w:rPr>
          <w:rFonts w:ascii="仿宋" w:hAnsi="仿宋" w:eastAsia="仿宋" w:cstheme="minorBidi"/>
          <w:b w:val="0"/>
          <w:bCs w:val="0"/>
        </w:rPr>
        <w:t>专业</w:t>
      </w:r>
      <w:r>
        <w:rPr>
          <w:rFonts w:hint="eastAsia" w:ascii="仿宋" w:hAnsi="仿宋" w:eastAsia="仿宋" w:cstheme="minorBidi"/>
          <w:b w:val="0"/>
          <w:bCs w:val="0"/>
        </w:rPr>
        <w:t>相关</w:t>
      </w:r>
      <w:r>
        <w:rPr>
          <w:rFonts w:ascii="仿宋" w:hAnsi="仿宋" w:eastAsia="仿宋" w:cstheme="minorBidi"/>
          <w:b w:val="0"/>
          <w:bCs w:val="0"/>
        </w:rPr>
        <w:t>学术期刊上发表学术论文，按照以下标准获得相应分值：</w:t>
      </w:r>
    </w:p>
    <w:p w14:paraId="024AEB29"/>
    <w:tbl>
      <w:tblPr>
        <w:tblStyle w:val="6"/>
        <w:tblW w:w="9165" w:type="dxa"/>
        <w:tblInd w:w="0" w:type="dxa"/>
        <w:tblLayout w:type="fixed"/>
        <w:tblCellMar>
          <w:top w:w="0" w:type="dxa"/>
          <w:left w:w="108" w:type="dxa"/>
          <w:bottom w:w="0" w:type="dxa"/>
          <w:right w:w="108" w:type="dxa"/>
        </w:tblCellMar>
      </w:tblPr>
      <w:tblGrid>
        <w:gridCol w:w="3345"/>
        <w:gridCol w:w="2115"/>
        <w:gridCol w:w="3705"/>
      </w:tblGrid>
      <w:tr w14:paraId="0908E52E">
        <w:tblPrEx>
          <w:tblCellMar>
            <w:top w:w="0" w:type="dxa"/>
            <w:left w:w="108" w:type="dxa"/>
            <w:bottom w:w="0" w:type="dxa"/>
            <w:right w:w="108" w:type="dxa"/>
          </w:tblCellMar>
        </w:tblPrEx>
        <w:trPr>
          <w:trHeight w:val="397" w:hRule="atLeast"/>
        </w:trPr>
        <w:tc>
          <w:tcPr>
            <w:tcW w:w="3345" w:type="dxa"/>
            <w:tcBorders>
              <w:top w:val="single" w:color="000000" w:sz="8" w:space="0"/>
              <w:left w:val="single" w:color="000000" w:sz="8" w:space="0"/>
              <w:bottom w:val="single" w:color="000000" w:sz="8" w:space="0"/>
              <w:right w:val="single" w:color="000000" w:sz="8" w:space="0"/>
            </w:tcBorders>
            <w:vAlign w:val="center"/>
          </w:tcPr>
          <w:p w14:paraId="41140A44">
            <w:pPr>
              <w:jc w:val="center"/>
              <w:rPr>
                <w:rFonts w:ascii="Times New Roman" w:hAnsi="Times New Roman" w:cs="Times New Roman" w:eastAsiaTheme="majorEastAsia"/>
                <w:b/>
              </w:rPr>
            </w:pPr>
            <w:r>
              <w:rPr>
                <w:rFonts w:ascii="Times New Roman" w:hAnsi="Times New Roman" w:cs="Times New Roman" w:eastAsiaTheme="majorEastAsia"/>
                <w:b/>
                <w:sz w:val="24"/>
                <w:szCs w:val="24"/>
              </w:rPr>
              <w:t>发表刊物</w:t>
            </w:r>
          </w:p>
        </w:tc>
        <w:tc>
          <w:tcPr>
            <w:tcW w:w="2115" w:type="dxa"/>
            <w:tcBorders>
              <w:top w:val="single" w:color="000000" w:sz="8" w:space="0"/>
              <w:left w:val="single" w:color="000000" w:sz="8" w:space="0"/>
              <w:bottom w:val="single" w:color="000000" w:sz="8" w:space="0"/>
              <w:right w:val="single" w:color="000000" w:sz="8" w:space="0"/>
            </w:tcBorders>
            <w:vAlign w:val="center"/>
          </w:tcPr>
          <w:p w14:paraId="1633C39A">
            <w:pPr>
              <w:jc w:val="center"/>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分值标准</w:t>
            </w:r>
          </w:p>
          <w:p w14:paraId="64E055EF">
            <w:pPr>
              <w:jc w:val="center"/>
              <w:rPr>
                <w:rFonts w:ascii="Times New Roman" w:hAnsi="Times New Roman" w:cs="Times New Roman" w:eastAsiaTheme="majorEastAsia"/>
                <w:b/>
              </w:rPr>
            </w:pPr>
            <w:r>
              <w:rPr>
                <w:rFonts w:ascii="Times New Roman" w:hAnsi="Times New Roman" w:cs="Times New Roman" w:eastAsiaTheme="majorEastAsia"/>
                <w:b/>
                <w:sz w:val="24"/>
                <w:szCs w:val="24"/>
              </w:rPr>
              <w:t>（第一作者）</w:t>
            </w:r>
          </w:p>
        </w:tc>
        <w:tc>
          <w:tcPr>
            <w:tcW w:w="3705" w:type="dxa"/>
            <w:tcBorders>
              <w:top w:val="single" w:color="000000" w:sz="8" w:space="0"/>
              <w:left w:val="single" w:color="000000" w:sz="8" w:space="0"/>
              <w:bottom w:val="single" w:color="000000" w:sz="8" w:space="0"/>
              <w:right w:val="single" w:color="000000" w:sz="8" w:space="0"/>
            </w:tcBorders>
            <w:vAlign w:val="center"/>
          </w:tcPr>
          <w:p w14:paraId="4728E951">
            <w:pPr>
              <w:jc w:val="center"/>
              <w:rPr>
                <w:rFonts w:ascii="Times New Roman" w:hAnsi="Times New Roman" w:cs="Times New Roman" w:eastAsiaTheme="majorEastAsia"/>
                <w:b/>
              </w:rPr>
            </w:pPr>
            <w:r>
              <w:rPr>
                <w:rFonts w:ascii="Times New Roman" w:hAnsi="Times New Roman" w:cs="Times New Roman" w:eastAsiaTheme="majorEastAsia"/>
                <w:b/>
                <w:sz w:val="24"/>
                <w:szCs w:val="24"/>
              </w:rPr>
              <w:t>备注</w:t>
            </w:r>
          </w:p>
        </w:tc>
      </w:tr>
      <w:tr w14:paraId="5136A096">
        <w:tblPrEx>
          <w:tblCellMar>
            <w:top w:w="0" w:type="dxa"/>
            <w:left w:w="108" w:type="dxa"/>
            <w:bottom w:w="0" w:type="dxa"/>
            <w:right w:w="108" w:type="dxa"/>
          </w:tblCellMar>
        </w:tblPrEx>
        <w:trPr>
          <w:trHeight w:val="397" w:hRule="atLeast"/>
        </w:trPr>
        <w:tc>
          <w:tcPr>
            <w:tcW w:w="3345" w:type="dxa"/>
            <w:tcBorders>
              <w:top w:val="single" w:color="000000" w:sz="8" w:space="0"/>
              <w:left w:val="single" w:color="000000" w:sz="8" w:space="0"/>
              <w:bottom w:val="single" w:color="000000" w:sz="8" w:space="0"/>
              <w:right w:val="single" w:color="000000" w:sz="8" w:space="0"/>
            </w:tcBorders>
            <w:vAlign w:val="center"/>
          </w:tcPr>
          <w:p w14:paraId="41070559">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SCI或SSCI收录论文</w:t>
            </w:r>
          </w:p>
          <w:p w14:paraId="0AAF0DB8">
            <w:pPr>
              <w:jc w:val="center"/>
              <w:rPr>
                <w:rFonts w:ascii="Times New Roman" w:hAnsi="Times New Roman" w:cs="Times New Roman" w:eastAsiaTheme="majorEastAsia"/>
              </w:rPr>
            </w:pPr>
            <w:r>
              <w:rPr>
                <w:rFonts w:ascii="Times New Roman" w:hAnsi="Times New Roman" w:cs="Times New Roman" w:eastAsiaTheme="majorEastAsia"/>
                <w:sz w:val="24"/>
                <w:szCs w:val="24"/>
              </w:rPr>
              <w:t>（中科院1区和2区）</w:t>
            </w:r>
          </w:p>
        </w:tc>
        <w:tc>
          <w:tcPr>
            <w:tcW w:w="2115" w:type="dxa"/>
            <w:tcBorders>
              <w:top w:val="single" w:color="000000" w:sz="8" w:space="0"/>
              <w:left w:val="single" w:color="000000" w:sz="8" w:space="0"/>
              <w:bottom w:val="single" w:color="000000" w:sz="8" w:space="0"/>
              <w:right w:val="single" w:color="000000" w:sz="8" w:space="0"/>
            </w:tcBorders>
            <w:vAlign w:val="center"/>
          </w:tcPr>
          <w:p w14:paraId="7230D7FB">
            <w:pPr>
              <w:jc w:val="center"/>
              <w:rPr>
                <w:rFonts w:ascii="Times New Roman" w:hAnsi="Times New Roman" w:cs="Times New Roman" w:eastAsiaTheme="majorEastAsia"/>
              </w:rPr>
            </w:pPr>
            <w:r>
              <w:rPr>
                <w:rFonts w:ascii="Times New Roman" w:hAnsi="Times New Roman" w:cs="Times New Roman" w:eastAsiaTheme="majorEastAsia"/>
                <w:sz w:val="24"/>
                <w:szCs w:val="24"/>
              </w:rPr>
              <w:t>20</w:t>
            </w:r>
          </w:p>
        </w:tc>
        <w:tc>
          <w:tcPr>
            <w:tcW w:w="3705" w:type="dxa"/>
            <w:vMerge w:val="restart"/>
            <w:tcBorders>
              <w:top w:val="single" w:color="000000" w:sz="8" w:space="0"/>
              <w:left w:val="single" w:color="000000" w:sz="8" w:space="0"/>
              <w:bottom w:val="single" w:color="000000" w:sz="8" w:space="0"/>
              <w:right w:val="single" w:color="000000" w:sz="8" w:space="0"/>
            </w:tcBorders>
            <w:vAlign w:val="center"/>
          </w:tcPr>
          <w:p w14:paraId="6ABB58D6">
            <w:pPr>
              <w:jc w:val="left"/>
              <w:rPr>
                <w:rFonts w:ascii="Times New Roman" w:hAnsi="Times New Roman" w:cs="Times New Roman" w:eastAsiaTheme="majorEastAsia"/>
              </w:rPr>
            </w:pPr>
            <w:r>
              <w:rPr>
                <w:rFonts w:ascii="Times New Roman" w:hAnsi="Times New Roman" w:cs="Times New Roman" w:eastAsiaTheme="majorEastAsia"/>
                <w:sz w:val="24"/>
                <w:szCs w:val="24"/>
              </w:rPr>
              <w:t>除第一作者外，SCI、SSCI、EI收录论文作者排名5分顺次递减；其余论文作者排名4分顺次递减；只加分前3名。</w:t>
            </w:r>
          </w:p>
        </w:tc>
      </w:tr>
      <w:tr w14:paraId="60F6BFD3">
        <w:tblPrEx>
          <w:tblCellMar>
            <w:top w:w="0" w:type="dxa"/>
            <w:left w:w="108" w:type="dxa"/>
            <w:bottom w:w="0" w:type="dxa"/>
            <w:right w:w="108" w:type="dxa"/>
          </w:tblCellMar>
        </w:tblPrEx>
        <w:trPr>
          <w:trHeight w:val="397" w:hRule="atLeast"/>
        </w:trPr>
        <w:tc>
          <w:tcPr>
            <w:tcW w:w="3345" w:type="dxa"/>
            <w:tcBorders>
              <w:top w:val="single" w:color="000000" w:sz="8" w:space="0"/>
              <w:left w:val="single" w:color="000000" w:sz="8" w:space="0"/>
              <w:bottom w:val="single" w:color="000000" w:sz="8" w:space="0"/>
              <w:right w:val="single" w:color="000000" w:sz="8" w:space="0"/>
            </w:tcBorders>
            <w:vAlign w:val="center"/>
          </w:tcPr>
          <w:p w14:paraId="35FD5FE7">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SCI或SSCI收录论文</w:t>
            </w:r>
          </w:p>
          <w:p w14:paraId="58CCDA94">
            <w:pPr>
              <w:jc w:val="center"/>
              <w:rPr>
                <w:rFonts w:ascii="Times New Roman" w:hAnsi="Times New Roman" w:cs="Times New Roman" w:eastAsiaTheme="majorEastAsia"/>
              </w:rPr>
            </w:pPr>
            <w:r>
              <w:rPr>
                <w:rFonts w:ascii="Times New Roman" w:hAnsi="Times New Roman" w:cs="Times New Roman" w:eastAsiaTheme="majorEastAsia"/>
                <w:sz w:val="24"/>
                <w:szCs w:val="24"/>
              </w:rPr>
              <w:t>（中科院3区和4区）</w:t>
            </w:r>
          </w:p>
        </w:tc>
        <w:tc>
          <w:tcPr>
            <w:tcW w:w="2115" w:type="dxa"/>
            <w:tcBorders>
              <w:top w:val="single" w:color="000000" w:sz="8" w:space="0"/>
              <w:left w:val="single" w:color="000000" w:sz="8" w:space="0"/>
              <w:bottom w:val="single" w:color="000000" w:sz="8" w:space="0"/>
              <w:right w:val="single" w:color="000000" w:sz="8" w:space="0"/>
            </w:tcBorders>
            <w:vAlign w:val="center"/>
          </w:tcPr>
          <w:p w14:paraId="1BAE326C">
            <w:pPr>
              <w:jc w:val="center"/>
              <w:rPr>
                <w:rFonts w:ascii="Times New Roman" w:hAnsi="Times New Roman" w:cs="Times New Roman" w:eastAsiaTheme="majorEastAsia"/>
              </w:rPr>
            </w:pPr>
            <w:r>
              <w:rPr>
                <w:rFonts w:ascii="Times New Roman" w:hAnsi="Times New Roman" w:cs="Times New Roman" w:eastAsiaTheme="majorEastAsia"/>
                <w:sz w:val="24"/>
                <w:szCs w:val="24"/>
              </w:rPr>
              <w:t>15</w:t>
            </w:r>
          </w:p>
        </w:tc>
        <w:tc>
          <w:tcPr>
            <w:tcW w:w="3705" w:type="dxa"/>
            <w:vMerge w:val="continue"/>
            <w:tcBorders>
              <w:top w:val="single" w:color="000000" w:sz="8" w:space="0"/>
              <w:left w:val="single" w:color="000000" w:sz="8" w:space="0"/>
              <w:bottom w:val="single" w:color="000000" w:sz="8" w:space="0"/>
              <w:right w:val="single" w:color="000000" w:sz="8" w:space="0"/>
            </w:tcBorders>
          </w:tcPr>
          <w:p w14:paraId="18B14984">
            <w:pPr>
              <w:jc w:val="left"/>
              <w:rPr>
                <w:rFonts w:ascii="Times New Roman" w:hAnsi="Times New Roman" w:cs="Times New Roman" w:eastAsiaTheme="majorEastAsia"/>
              </w:rPr>
            </w:pPr>
          </w:p>
        </w:tc>
      </w:tr>
      <w:tr w14:paraId="07F22CDF">
        <w:tblPrEx>
          <w:tblCellMar>
            <w:top w:w="0" w:type="dxa"/>
            <w:left w:w="108" w:type="dxa"/>
            <w:bottom w:w="0" w:type="dxa"/>
            <w:right w:w="108" w:type="dxa"/>
          </w:tblCellMar>
        </w:tblPrEx>
        <w:trPr>
          <w:trHeight w:val="397" w:hRule="atLeast"/>
        </w:trPr>
        <w:tc>
          <w:tcPr>
            <w:tcW w:w="3345" w:type="dxa"/>
            <w:tcBorders>
              <w:top w:val="single" w:color="000000" w:sz="8" w:space="0"/>
              <w:left w:val="single" w:color="000000" w:sz="8" w:space="0"/>
              <w:bottom w:val="single" w:color="000000" w:sz="8" w:space="0"/>
              <w:right w:val="single" w:color="000000" w:sz="8" w:space="0"/>
            </w:tcBorders>
            <w:vAlign w:val="center"/>
          </w:tcPr>
          <w:p w14:paraId="78F1828B">
            <w:pPr>
              <w:jc w:val="center"/>
              <w:rPr>
                <w:rFonts w:ascii="Times New Roman" w:hAnsi="Times New Roman" w:cs="Times New Roman" w:eastAsiaTheme="majorEastAsia"/>
              </w:rPr>
            </w:pPr>
            <w:r>
              <w:rPr>
                <w:rFonts w:ascii="Times New Roman" w:hAnsi="Times New Roman" w:cs="Times New Roman" w:eastAsiaTheme="majorEastAsia"/>
                <w:sz w:val="24"/>
                <w:szCs w:val="24"/>
              </w:rPr>
              <w:t>EI收录论文</w:t>
            </w:r>
          </w:p>
        </w:tc>
        <w:tc>
          <w:tcPr>
            <w:tcW w:w="2115" w:type="dxa"/>
            <w:tcBorders>
              <w:top w:val="single" w:color="000000" w:sz="8" w:space="0"/>
              <w:left w:val="single" w:color="000000" w:sz="8" w:space="0"/>
              <w:bottom w:val="single" w:color="000000" w:sz="8" w:space="0"/>
              <w:right w:val="single" w:color="000000" w:sz="8" w:space="0"/>
            </w:tcBorders>
            <w:vAlign w:val="center"/>
          </w:tcPr>
          <w:p w14:paraId="626031C4">
            <w:pPr>
              <w:jc w:val="center"/>
              <w:rPr>
                <w:rFonts w:ascii="Times New Roman" w:hAnsi="Times New Roman" w:cs="Times New Roman" w:eastAsiaTheme="majorEastAsia"/>
              </w:rPr>
            </w:pPr>
            <w:r>
              <w:rPr>
                <w:rFonts w:ascii="Times New Roman" w:hAnsi="Times New Roman" w:cs="Times New Roman" w:eastAsiaTheme="majorEastAsia"/>
                <w:sz w:val="24"/>
                <w:szCs w:val="24"/>
              </w:rPr>
              <w:t>12</w:t>
            </w:r>
          </w:p>
        </w:tc>
        <w:tc>
          <w:tcPr>
            <w:tcW w:w="3705" w:type="dxa"/>
            <w:vMerge w:val="continue"/>
            <w:tcBorders>
              <w:top w:val="single" w:color="000000" w:sz="8" w:space="0"/>
              <w:left w:val="single" w:color="000000" w:sz="8" w:space="0"/>
              <w:bottom w:val="single" w:color="000000" w:sz="8" w:space="0"/>
              <w:right w:val="single" w:color="000000" w:sz="8" w:space="0"/>
            </w:tcBorders>
          </w:tcPr>
          <w:p w14:paraId="53CEE616">
            <w:pPr>
              <w:jc w:val="left"/>
              <w:rPr>
                <w:rFonts w:ascii="Times New Roman" w:hAnsi="Times New Roman" w:cs="Times New Roman" w:eastAsiaTheme="majorEastAsia"/>
              </w:rPr>
            </w:pPr>
          </w:p>
        </w:tc>
      </w:tr>
      <w:tr w14:paraId="78AF9F62">
        <w:tblPrEx>
          <w:tblCellMar>
            <w:top w:w="0" w:type="dxa"/>
            <w:left w:w="108" w:type="dxa"/>
            <w:bottom w:w="0" w:type="dxa"/>
            <w:right w:w="108" w:type="dxa"/>
          </w:tblCellMar>
        </w:tblPrEx>
        <w:trPr>
          <w:trHeight w:val="397" w:hRule="atLeast"/>
        </w:trPr>
        <w:tc>
          <w:tcPr>
            <w:tcW w:w="3345" w:type="dxa"/>
            <w:tcBorders>
              <w:top w:val="single" w:color="000000" w:sz="8" w:space="0"/>
              <w:left w:val="single" w:color="000000" w:sz="8" w:space="0"/>
              <w:bottom w:val="single" w:color="000000" w:sz="8" w:space="0"/>
              <w:right w:val="single" w:color="000000" w:sz="8" w:space="0"/>
            </w:tcBorders>
            <w:vAlign w:val="center"/>
          </w:tcPr>
          <w:p w14:paraId="1C5B47F3">
            <w:pPr>
              <w:jc w:val="center"/>
              <w:rPr>
                <w:rFonts w:ascii="Times New Roman" w:hAnsi="Times New Roman" w:cs="Times New Roman" w:eastAsiaTheme="majorEastAsia"/>
              </w:rPr>
            </w:pPr>
            <w:r>
              <w:rPr>
                <w:rFonts w:ascii="Times New Roman" w:hAnsi="Times New Roman" w:cs="Times New Roman" w:eastAsiaTheme="majorEastAsia"/>
                <w:sz w:val="24"/>
                <w:szCs w:val="24"/>
              </w:rPr>
              <w:t>中文核心期刊</w:t>
            </w:r>
          </w:p>
        </w:tc>
        <w:tc>
          <w:tcPr>
            <w:tcW w:w="2115" w:type="dxa"/>
            <w:tcBorders>
              <w:top w:val="single" w:color="000000" w:sz="8" w:space="0"/>
              <w:left w:val="single" w:color="000000" w:sz="8" w:space="0"/>
              <w:bottom w:val="single" w:color="000000" w:sz="8" w:space="0"/>
              <w:right w:val="single" w:color="000000" w:sz="8" w:space="0"/>
            </w:tcBorders>
            <w:vAlign w:val="center"/>
          </w:tcPr>
          <w:p w14:paraId="0EF5F241">
            <w:pPr>
              <w:jc w:val="center"/>
              <w:rPr>
                <w:rFonts w:ascii="Times New Roman" w:hAnsi="Times New Roman" w:cs="Times New Roman" w:eastAsiaTheme="majorEastAsia"/>
              </w:rPr>
            </w:pPr>
            <w:r>
              <w:rPr>
                <w:rFonts w:ascii="Times New Roman" w:hAnsi="Times New Roman" w:cs="Times New Roman" w:eastAsiaTheme="majorEastAsia"/>
                <w:sz w:val="24"/>
                <w:szCs w:val="24"/>
              </w:rPr>
              <w:t>10</w:t>
            </w:r>
          </w:p>
        </w:tc>
        <w:tc>
          <w:tcPr>
            <w:tcW w:w="3705" w:type="dxa"/>
            <w:vMerge w:val="continue"/>
            <w:tcBorders>
              <w:top w:val="single" w:color="000000" w:sz="8" w:space="0"/>
              <w:left w:val="single" w:color="000000" w:sz="8" w:space="0"/>
              <w:bottom w:val="single" w:color="000000" w:sz="8" w:space="0"/>
              <w:right w:val="single" w:color="000000" w:sz="8" w:space="0"/>
            </w:tcBorders>
          </w:tcPr>
          <w:p w14:paraId="182539FC">
            <w:pPr>
              <w:jc w:val="left"/>
              <w:rPr>
                <w:rFonts w:ascii="Times New Roman" w:hAnsi="Times New Roman" w:cs="Times New Roman" w:eastAsiaTheme="majorEastAsia"/>
              </w:rPr>
            </w:pPr>
          </w:p>
        </w:tc>
      </w:tr>
    </w:tbl>
    <w:p w14:paraId="0FD93D4E">
      <w:pPr>
        <w:pStyle w:val="5"/>
        <w:spacing w:before="0" w:after="0" w:line="280" w:lineRule="exact"/>
        <w:ind w:firstLine="420" w:firstLineChars="200"/>
        <w:jc w:val="left"/>
        <w:outlineLvl w:val="9"/>
        <w:rPr>
          <w:rFonts w:ascii="Times New Roman" w:hAnsi="Times New Roman" w:cs="Times New Roman"/>
        </w:rPr>
      </w:pPr>
      <w:r>
        <w:rPr>
          <w:rFonts w:ascii="Times New Roman" w:hAnsi="Times New Roman" w:cs="Times New Roman"/>
          <w:b w:val="0"/>
          <w:bCs w:val="0"/>
          <w:sz w:val="21"/>
          <w:szCs w:val="21"/>
        </w:rPr>
        <w:t>注：</w:t>
      </w:r>
      <w:r>
        <w:rPr>
          <w:rFonts w:hint="eastAsia" w:ascii="宋体" w:hAnsi="宋体" w:eastAsia="宋体" w:cs="宋体"/>
          <w:b w:val="0"/>
          <w:bCs w:val="0"/>
          <w:sz w:val="21"/>
          <w:szCs w:val="21"/>
        </w:rPr>
        <w:t>①</w:t>
      </w:r>
      <w:r>
        <w:rPr>
          <w:rFonts w:ascii="Times New Roman" w:hAnsi="Times New Roman" w:cs="Times New Roman"/>
          <w:b w:val="0"/>
          <w:bCs w:val="0"/>
          <w:sz w:val="21"/>
          <w:szCs w:val="21"/>
        </w:rPr>
        <w:t>以上论文需学生本人为第一作者或参加者，西北农林科技大学为第一完成单位；</w:t>
      </w:r>
      <w:r>
        <w:rPr>
          <w:rFonts w:hint="eastAsia" w:ascii="宋体" w:hAnsi="宋体" w:eastAsia="宋体" w:cs="宋体"/>
          <w:b w:val="0"/>
          <w:bCs w:val="0"/>
          <w:sz w:val="21"/>
          <w:szCs w:val="21"/>
        </w:rPr>
        <w:t>②</w:t>
      </w:r>
      <w:r>
        <w:rPr>
          <w:rFonts w:ascii="Times New Roman" w:hAnsi="Times New Roman" w:cs="Times New Roman"/>
          <w:b w:val="0"/>
          <w:bCs w:val="0"/>
          <w:sz w:val="21"/>
          <w:szCs w:val="21"/>
        </w:rPr>
        <w:t>中文核心期刊以北京大学图书馆出版的最新版《中文核心期刊目录》和中科院情报信息中心编辑的《中国科学引文数据库》（简称CSCD）为准，需提供期刊封面、目录和文章全文；SCI、SSCI、EI、CSSCI收录论文需提供收录证明（或网络检索证明）和文章全文；</w:t>
      </w:r>
      <w:r>
        <w:rPr>
          <w:rFonts w:hint="eastAsia" w:ascii="宋体" w:hAnsi="宋体" w:eastAsia="宋体" w:cs="宋体"/>
          <w:b w:val="0"/>
          <w:bCs w:val="0"/>
          <w:sz w:val="21"/>
          <w:szCs w:val="21"/>
        </w:rPr>
        <w:t>③</w:t>
      </w:r>
      <w:r>
        <w:rPr>
          <w:rFonts w:ascii="Times New Roman" w:hAnsi="Times New Roman" w:cs="Times New Roman"/>
          <w:b w:val="0"/>
          <w:bCs w:val="0"/>
          <w:sz w:val="21"/>
          <w:szCs w:val="21"/>
        </w:rPr>
        <w:t>以上发表的论文须与所学专业相关；</w:t>
      </w:r>
      <w:r>
        <w:rPr>
          <w:rFonts w:ascii="Times New Roman" w:hAnsi="Times New Roman" w:cs="Times New Roman"/>
          <w:b w:val="0"/>
          <w:bCs w:val="0"/>
          <w:sz w:val="21"/>
          <w:szCs w:val="21"/>
        </w:rPr>
        <w:fldChar w:fldCharType="begin"/>
      </w:r>
      <w:r>
        <w:rPr>
          <w:rFonts w:ascii="Times New Roman" w:hAnsi="Times New Roman" w:cs="Times New Roman"/>
          <w:b w:val="0"/>
          <w:bCs w:val="0"/>
          <w:sz w:val="21"/>
          <w:szCs w:val="21"/>
        </w:rPr>
        <w:instrText xml:space="preserve"> = 4 \* GB3 \* MERGEFORMAT </w:instrText>
      </w:r>
      <w:r>
        <w:rPr>
          <w:rFonts w:ascii="Times New Roman" w:hAnsi="Times New Roman" w:cs="Times New Roman"/>
          <w:b w:val="0"/>
          <w:bCs w:val="0"/>
          <w:sz w:val="21"/>
          <w:szCs w:val="21"/>
        </w:rPr>
        <w:fldChar w:fldCharType="separate"/>
      </w:r>
      <w:r>
        <w:rPr>
          <w:rFonts w:hint="eastAsia" w:ascii="宋体" w:hAnsi="宋体" w:eastAsia="宋体" w:cs="宋体"/>
          <w:b w:val="0"/>
          <w:bCs w:val="0"/>
          <w:sz w:val="21"/>
          <w:szCs w:val="21"/>
        </w:rPr>
        <w:t>④</w:t>
      </w:r>
      <w:r>
        <w:rPr>
          <w:rFonts w:ascii="Times New Roman" w:hAnsi="Times New Roman" w:cs="Times New Roman"/>
          <w:b w:val="0"/>
          <w:bCs w:val="0"/>
          <w:sz w:val="21"/>
          <w:szCs w:val="21"/>
        </w:rPr>
        <w:fldChar w:fldCharType="end"/>
      </w:r>
      <w:r>
        <w:rPr>
          <w:rFonts w:ascii="Times New Roman" w:hAnsi="Times New Roman" w:cs="Times New Roman"/>
          <w:b w:val="0"/>
          <w:bCs w:val="0"/>
          <w:sz w:val="21"/>
          <w:szCs w:val="21"/>
        </w:rPr>
        <w:t>学术论文累计加分不超过50分。</w:t>
      </w:r>
    </w:p>
    <w:p w14:paraId="5A0A515D">
      <w:pPr>
        <w:pStyle w:val="5"/>
        <w:spacing w:before="0" w:after="0" w:line="540" w:lineRule="exact"/>
        <w:ind w:firstLine="643" w:firstLineChars="200"/>
        <w:jc w:val="both"/>
        <w:outlineLvl w:val="2"/>
        <w:rPr>
          <w:rFonts w:ascii="仿宋" w:hAnsi="仿宋" w:eastAsia="仿宋" w:cstheme="minorBidi"/>
          <w:bCs w:val="0"/>
        </w:rPr>
      </w:pPr>
      <w:r>
        <w:rPr>
          <w:rFonts w:ascii="仿宋" w:hAnsi="仿宋" w:eastAsia="仿宋" w:cstheme="minorBidi"/>
          <w:bCs w:val="0"/>
        </w:rPr>
        <w:t>2.获批专利</w:t>
      </w:r>
    </w:p>
    <w:p w14:paraId="0C3403D9">
      <w:pPr>
        <w:pStyle w:val="5"/>
        <w:spacing w:before="0" w:after="0" w:line="540" w:lineRule="exact"/>
        <w:ind w:firstLine="640" w:firstLineChars="200"/>
        <w:jc w:val="both"/>
        <w:outlineLvl w:val="9"/>
        <w:rPr>
          <w:rFonts w:ascii="仿宋" w:hAnsi="仿宋" w:eastAsia="仿宋" w:cstheme="minorBidi"/>
          <w:b w:val="0"/>
          <w:bCs w:val="0"/>
        </w:rPr>
      </w:pPr>
      <w:r>
        <w:rPr>
          <w:rFonts w:hint="eastAsia" w:ascii="仿宋" w:hAnsi="仿宋" w:eastAsia="仿宋" w:cstheme="minorBidi"/>
          <w:b w:val="0"/>
          <w:bCs w:val="0"/>
          <w:lang w:eastAsia="zh-CN"/>
        </w:rPr>
        <w:t>截止</w:t>
      </w:r>
      <w:r>
        <w:rPr>
          <w:rFonts w:ascii="仿宋" w:hAnsi="仿宋" w:eastAsia="仿宋" w:cstheme="minorBidi"/>
          <w:b w:val="0"/>
          <w:bCs w:val="0"/>
        </w:rPr>
        <w:t>该年度9月7日，申请者获得</w:t>
      </w:r>
      <w:r>
        <w:rPr>
          <w:rFonts w:hint="eastAsia" w:ascii="仿宋" w:hAnsi="仿宋" w:eastAsia="仿宋" w:cstheme="minorBidi"/>
          <w:b w:val="0"/>
          <w:bCs w:val="0"/>
        </w:rPr>
        <w:t>与本人</w:t>
      </w:r>
      <w:r>
        <w:rPr>
          <w:rFonts w:ascii="仿宋" w:hAnsi="仿宋" w:eastAsia="仿宋" w:cstheme="minorBidi"/>
          <w:b w:val="0"/>
          <w:bCs w:val="0"/>
        </w:rPr>
        <w:t>专业</w:t>
      </w:r>
      <w:r>
        <w:rPr>
          <w:rFonts w:hint="eastAsia" w:ascii="仿宋" w:hAnsi="仿宋" w:eastAsia="仿宋" w:cstheme="minorBidi"/>
          <w:b w:val="0"/>
          <w:bCs w:val="0"/>
        </w:rPr>
        <w:t>相关的</w:t>
      </w:r>
      <w:r>
        <w:rPr>
          <w:rFonts w:ascii="仿宋" w:hAnsi="仿宋" w:eastAsia="仿宋" w:cstheme="minorBidi"/>
          <w:b w:val="0"/>
          <w:bCs w:val="0"/>
        </w:rPr>
        <w:t>专利，按照以下标准获得相应分值：</w:t>
      </w:r>
    </w:p>
    <w:p w14:paraId="60D0E607">
      <w:pPr>
        <w:rPr>
          <w:rFonts w:ascii="仿宋" w:hAnsi="仿宋" w:eastAsia="仿宋" w:cstheme="minorBidi"/>
          <w:b w:val="0"/>
          <w:bCs w:val="0"/>
        </w:rPr>
      </w:pPr>
    </w:p>
    <w:p w14:paraId="6984A5E3">
      <w:pPr>
        <w:rPr>
          <w:rFonts w:ascii="仿宋" w:hAnsi="仿宋" w:eastAsia="仿宋" w:cstheme="minorBidi"/>
          <w:b w:val="0"/>
          <w:bCs w:val="0"/>
        </w:rPr>
      </w:pPr>
    </w:p>
    <w:p w14:paraId="04860731">
      <w:pPr>
        <w:rPr>
          <w:rFonts w:ascii="仿宋" w:hAnsi="仿宋" w:eastAsia="仿宋" w:cstheme="minorBidi"/>
          <w:b w:val="0"/>
          <w:bCs w:val="0"/>
        </w:rPr>
      </w:pPr>
    </w:p>
    <w:p w14:paraId="1B742FAD">
      <w:pPr>
        <w:rPr>
          <w:rFonts w:ascii="仿宋" w:hAnsi="仿宋" w:eastAsia="仿宋" w:cstheme="minorBidi"/>
          <w:b w:val="0"/>
          <w:bCs w:val="0"/>
        </w:rPr>
      </w:pPr>
    </w:p>
    <w:p w14:paraId="53D58172">
      <w:pPr>
        <w:rPr>
          <w:rFonts w:ascii="仿宋" w:hAnsi="仿宋" w:eastAsia="仿宋" w:cstheme="minorBidi"/>
          <w:b w:val="0"/>
          <w:bCs w:val="0"/>
        </w:rPr>
      </w:pPr>
    </w:p>
    <w:p w14:paraId="6EE10A14">
      <w:pPr>
        <w:rPr>
          <w:rFonts w:ascii="仿宋" w:hAnsi="仿宋" w:eastAsia="仿宋" w:cstheme="minorBidi"/>
          <w:b w:val="0"/>
          <w:bCs w:val="0"/>
        </w:rPr>
      </w:pPr>
    </w:p>
    <w:p w14:paraId="47D528CB">
      <w:pPr>
        <w:rPr>
          <w:rFonts w:hint="eastAsia"/>
        </w:rPr>
      </w:pPr>
    </w:p>
    <w:tbl>
      <w:tblPr>
        <w:tblStyle w:val="6"/>
        <w:tblW w:w="9165" w:type="dxa"/>
        <w:jc w:val="center"/>
        <w:tblLayout w:type="fixed"/>
        <w:tblCellMar>
          <w:top w:w="0" w:type="dxa"/>
          <w:left w:w="108" w:type="dxa"/>
          <w:bottom w:w="0" w:type="dxa"/>
          <w:right w:w="108" w:type="dxa"/>
        </w:tblCellMar>
      </w:tblPr>
      <w:tblGrid>
        <w:gridCol w:w="3345"/>
        <w:gridCol w:w="2130"/>
        <w:gridCol w:w="3690"/>
      </w:tblGrid>
      <w:tr w14:paraId="2B1CC113">
        <w:tblPrEx>
          <w:tblCellMar>
            <w:top w:w="0" w:type="dxa"/>
            <w:left w:w="108" w:type="dxa"/>
            <w:bottom w:w="0" w:type="dxa"/>
            <w:right w:w="108" w:type="dxa"/>
          </w:tblCellMar>
        </w:tblPrEx>
        <w:trPr>
          <w:trHeight w:val="454" w:hRule="atLeast"/>
          <w:jc w:val="center"/>
        </w:trPr>
        <w:tc>
          <w:tcPr>
            <w:tcW w:w="3345" w:type="dxa"/>
            <w:tcBorders>
              <w:top w:val="single" w:color="000000" w:sz="8" w:space="0"/>
              <w:left w:val="single" w:color="000000" w:sz="8" w:space="0"/>
              <w:bottom w:val="single" w:color="000000" w:sz="8" w:space="0"/>
              <w:right w:val="single" w:color="000000" w:sz="8" w:space="0"/>
            </w:tcBorders>
            <w:vAlign w:val="center"/>
          </w:tcPr>
          <w:p w14:paraId="3FB84F13">
            <w:pPr>
              <w:jc w:val="center"/>
              <w:rPr>
                <w:rFonts w:ascii="Times New Roman" w:hAnsi="Times New Roman" w:cs="Times New Roman" w:eastAsiaTheme="majorEastAsia"/>
                <w:b/>
              </w:rPr>
            </w:pPr>
            <w:r>
              <w:rPr>
                <w:rFonts w:ascii="Times New Roman" w:hAnsi="Times New Roman" w:cs="Times New Roman" w:eastAsiaTheme="majorEastAsia"/>
                <w:b/>
                <w:sz w:val="24"/>
                <w:szCs w:val="24"/>
              </w:rPr>
              <w:t>专利类别</w:t>
            </w:r>
          </w:p>
        </w:tc>
        <w:tc>
          <w:tcPr>
            <w:tcW w:w="2130" w:type="dxa"/>
            <w:tcBorders>
              <w:top w:val="single" w:color="000000" w:sz="8" w:space="0"/>
              <w:left w:val="single" w:color="000000" w:sz="8" w:space="0"/>
              <w:bottom w:val="single" w:color="000000" w:sz="8" w:space="0"/>
              <w:right w:val="single" w:color="000000" w:sz="8" w:space="0"/>
            </w:tcBorders>
            <w:vAlign w:val="center"/>
          </w:tcPr>
          <w:p w14:paraId="4C088A8B">
            <w:pPr>
              <w:jc w:val="center"/>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分值标准</w:t>
            </w:r>
          </w:p>
          <w:p w14:paraId="158D9EC5">
            <w:pPr>
              <w:jc w:val="center"/>
              <w:rPr>
                <w:rFonts w:ascii="Times New Roman" w:hAnsi="Times New Roman" w:cs="Times New Roman" w:eastAsiaTheme="majorEastAsia"/>
                <w:b/>
              </w:rPr>
            </w:pPr>
            <w:r>
              <w:rPr>
                <w:rFonts w:ascii="Times New Roman" w:hAnsi="Times New Roman" w:cs="Times New Roman" w:eastAsiaTheme="majorEastAsia"/>
                <w:b/>
                <w:sz w:val="24"/>
                <w:szCs w:val="24"/>
              </w:rPr>
              <w:t>（第一完成人）</w:t>
            </w:r>
          </w:p>
        </w:tc>
        <w:tc>
          <w:tcPr>
            <w:tcW w:w="3690" w:type="dxa"/>
            <w:tcBorders>
              <w:top w:val="single" w:color="000000" w:sz="8" w:space="0"/>
              <w:left w:val="single" w:color="000000" w:sz="8" w:space="0"/>
              <w:bottom w:val="single" w:color="000000" w:sz="8" w:space="0"/>
              <w:right w:val="single" w:color="000000" w:sz="8" w:space="0"/>
            </w:tcBorders>
            <w:vAlign w:val="center"/>
          </w:tcPr>
          <w:p w14:paraId="7E371F4F">
            <w:pPr>
              <w:jc w:val="center"/>
              <w:rPr>
                <w:rFonts w:ascii="Times New Roman" w:hAnsi="Times New Roman" w:cs="Times New Roman" w:eastAsiaTheme="majorEastAsia"/>
                <w:b/>
              </w:rPr>
            </w:pPr>
            <w:r>
              <w:rPr>
                <w:rFonts w:ascii="Times New Roman" w:hAnsi="Times New Roman" w:cs="Times New Roman" w:eastAsiaTheme="majorEastAsia"/>
                <w:b/>
                <w:sz w:val="24"/>
                <w:szCs w:val="24"/>
              </w:rPr>
              <w:t>备注</w:t>
            </w:r>
          </w:p>
        </w:tc>
      </w:tr>
      <w:tr w14:paraId="4EAC8E4A">
        <w:tblPrEx>
          <w:tblCellMar>
            <w:top w:w="0" w:type="dxa"/>
            <w:left w:w="108" w:type="dxa"/>
            <w:bottom w:w="0" w:type="dxa"/>
            <w:right w:w="108" w:type="dxa"/>
          </w:tblCellMar>
        </w:tblPrEx>
        <w:trPr>
          <w:trHeight w:val="454" w:hRule="atLeast"/>
          <w:jc w:val="center"/>
        </w:trPr>
        <w:tc>
          <w:tcPr>
            <w:tcW w:w="3345" w:type="dxa"/>
            <w:tcBorders>
              <w:top w:val="single" w:color="000000" w:sz="8" w:space="0"/>
              <w:left w:val="single" w:color="000000" w:sz="8" w:space="0"/>
              <w:bottom w:val="single" w:color="000000" w:sz="8" w:space="0"/>
              <w:right w:val="single" w:color="000000" w:sz="8" w:space="0"/>
            </w:tcBorders>
            <w:vAlign w:val="center"/>
          </w:tcPr>
          <w:p w14:paraId="798A2C41">
            <w:pPr>
              <w:jc w:val="center"/>
              <w:rPr>
                <w:rFonts w:ascii="Times New Roman" w:hAnsi="Times New Roman" w:cs="Times New Roman" w:eastAsiaTheme="majorEastAsia"/>
              </w:rPr>
            </w:pPr>
            <w:r>
              <w:rPr>
                <w:rFonts w:ascii="Times New Roman" w:hAnsi="Times New Roman" w:cs="Times New Roman" w:eastAsiaTheme="majorEastAsia"/>
                <w:sz w:val="24"/>
                <w:szCs w:val="24"/>
              </w:rPr>
              <w:t>发明专利</w:t>
            </w:r>
          </w:p>
        </w:tc>
        <w:tc>
          <w:tcPr>
            <w:tcW w:w="2130" w:type="dxa"/>
            <w:tcBorders>
              <w:top w:val="single" w:color="000000" w:sz="8" w:space="0"/>
              <w:left w:val="single" w:color="000000" w:sz="8" w:space="0"/>
              <w:bottom w:val="single" w:color="000000" w:sz="8" w:space="0"/>
              <w:right w:val="single" w:color="000000" w:sz="8" w:space="0"/>
            </w:tcBorders>
            <w:vAlign w:val="center"/>
          </w:tcPr>
          <w:p w14:paraId="52E3CFE1">
            <w:pPr>
              <w:jc w:val="center"/>
              <w:rPr>
                <w:rFonts w:ascii="Times New Roman" w:hAnsi="Times New Roman" w:cs="Times New Roman" w:eastAsiaTheme="majorEastAsia"/>
              </w:rPr>
            </w:pPr>
            <w:r>
              <w:rPr>
                <w:rFonts w:ascii="Times New Roman" w:hAnsi="Times New Roman" w:cs="Times New Roman" w:eastAsiaTheme="majorEastAsia"/>
                <w:sz w:val="24"/>
                <w:szCs w:val="24"/>
              </w:rPr>
              <w:t>10</w:t>
            </w:r>
          </w:p>
        </w:tc>
        <w:tc>
          <w:tcPr>
            <w:tcW w:w="3690" w:type="dxa"/>
            <w:vMerge w:val="restart"/>
            <w:tcBorders>
              <w:top w:val="single" w:color="000000" w:sz="8" w:space="0"/>
              <w:left w:val="single" w:color="000000" w:sz="8" w:space="0"/>
              <w:bottom w:val="single" w:color="000000" w:sz="8" w:space="0"/>
              <w:right w:val="single" w:color="000000" w:sz="8" w:space="0"/>
            </w:tcBorders>
            <w:vAlign w:val="center"/>
          </w:tcPr>
          <w:p w14:paraId="2D8293B9">
            <w:pPr>
              <w:jc w:val="center"/>
              <w:rPr>
                <w:rFonts w:ascii="Times New Roman" w:hAnsi="Times New Roman" w:cs="Times New Roman" w:eastAsiaTheme="majorEastAsia"/>
              </w:rPr>
            </w:pPr>
            <w:r>
              <w:rPr>
                <w:rFonts w:ascii="Times New Roman" w:hAnsi="Times New Roman" w:cs="Times New Roman" w:eastAsiaTheme="majorEastAsia"/>
                <w:sz w:val="24"/>
                <w:szCs w:val="24"/>
              </w:rPr>
              <w:t>除第一完成人外，其余根据完成人排名2分顺次递减。</w:t>
            </w:r>
          </w:p>
        </w:tc>
      </w:tr>
      <w:tr w14:paraId="5688EEC9">
        <w:tblPrEx>
          <w:tblCellMar>
            <w:top w:w="0" w:type="dxa"/>
            <w:left w:w="108" w:type="dxa"/>
            <w:bottom w:w="0" w:type="dxa"/>
            <w:right w:w="108" w:type="dxa"/>
          </w:tblCellMar>
        </w:tblPrEx>
        <w:trPr>
          <w:trHeight w:val="454" w:hRule="atLeast"/>
          <w:jc w:val="center"/>
        </w:trPr>
        <w:tc>
          <w:tcPr>
            <w:tcW w:w="3345" w:type="dxa"/>
            <w:tcBorders>
              <w:top w:val="single" w:color="000000" w:sz="8" w:space="0"/>
              <w:left w:val="single" w:color="000000" w:sz="8" w:space="0"/>
              <w:bottom w:val="single" w:color="000000" w:sz="8" w:space="0"/>
              <w:right w:val="single" w:color="000000" w:sz="8" w:space="0"/>
            </w:tcBorders>
            <w:vAlign w:val="center"/>
          </w:tcPr>
          <w:p w14:paraId="21DC467F">
            <w:pPr>
              <w:jc w:val="center"/>
              <w:rPr>
                <w:rFonts w:ascii="Times New Roman" w:hAnsi="Times New Roman" w:cs="Times New Roman" w:eastAsiaTheme="majorEastAsia"/>
              </w:rPr>
            </w:pPr>
            <w:r>
              <w:rPr>
                <w:rFonts w:ascii="Times New Roman" w:hAnsi="Times New Roman" w:cs="Times New Roman" w:eastAsiaTheme="majorEastAsia"/>
                <w:sz w:val="24"/>
                <w:szCs w:val="24"/>
              </w:rPr>
              <w:t>实用新型专利</w:t>
            </w:r>
          </w:p>
        </w:tc>
        <w:tc>
          <w:tcPr>
            <w:tcW w:w="2130" w:type="dxa"/>
            <w:tcBorders>
              <w:top w:val="single" w:color="000000" w:sz="8" w:space="0"/>
              <w:left w:val="single" w:color="000000" w:sz="8" w:space="0"/>
              <w:bottom w:val="single" w:color="000000" w:sz="8" w:space="0"/>
              <w:right w:val="single" w:color="000000" w:sz="8" w:space="0"/>
            </w:tcBorders>
            <w:vAlign w:val="center"/>
          </w:tcPr>
          <w:p w14:paraId="270D038F">
            <w:pPr>
              <w:jc w:val="center"/>
              <w:rPr>
                <w:rFonts w:ascii="Times New Roman" w:hAnsi="Times New Roman" w:cs="Times New Roman" w:eastAsiaTheme="majorEastAsia"/>
              </w:rPr>
            </w:pPr>
            <w:r>
              <w:rPr>
                <w:rFonts w:ascii="Times New Roman" w:hAnsi="Times New Roman" w:cs="Times New Roman" w:eastAsiaTheme="majorEastAsia"/>
                <w:sz w:val="24"/>
                <w:szCs w:val="24"/>
              </w:rPr>
              <w:t>5</w:t>
            </w:r>
          </w:p>
        </w:tc>
        <w:tc>
          <w:tcPr>
            <w:tcW w:w="3690" w:type="dxa"/>
            <w:vMerge w:val="continue"/>
            <w:tcBorders>
              <w:top w:val="single" w:color="000000" w:sz="8" w:space="0"/>
              <w:left w:val="single" w:color="000000" w:sz="8" w:space="0"/>
              <w:bottom w:val="single" w:color="000000" w:sz="8" w:space="0"/>
              <w:right w:val="single" w:color="000000" w:sz="8" w:space="0"/>
            </w:tcBorders>
            <w:vAlign w:val="center"/>
          </w:tcPr>
          <w:p w14:paraId="707AABF8">
            <w:pPr>
              <w:jc w:val="center"/>
              <w:rPr>
                <w:rFonts w:ascii="Times New Roman" w:hAnsi="Times New Roman" w:cs="Times New Roman" w:eastAsiaTheme="majorEastAsia"/>
              </w:rPr>
            </w:pPr>
          </w:p>
        </w:tc>
      </w:tr>
      <w:tr w14:paraId="0EB11D09">
        <w:tblPrEx>
          <w:tblCellMar>
            <w:top w:w="0" w:type="dxa"/>
            <w:left w:w="108" w:type="dxa"/>
            <w:bottom w:w="0" w:type="dxa"/>
            <w:right w:w="108" w:type="dxa"/>
          </w:tblCellMar>
        </w:tblPrEx>
        <w:trPr>
          <w:trHeight w:val="454" w:hRule="atLeast"/>
          <w:jc w:val="center"/>
        </w:trPr>
        <w:tc>
          <w:tcPr>
            <w:tcW w:w="3345" w:type="dxa"/>
            <w:tcBorders>
              <w:top w:val="single" w:color="000000" w:sz="8" w:space="0"/>
              <w:left w:val="single" w:color="000000" w:sz="8" w:space="0"/>
              <w:bottom w:val="single" w:color="000000" w:sz="8" w:space="0"/>
              <w:right w:val="single" w:color="000000" w:sz="8" w:space="0"/>
            </w:tcBorders>
            <w:vAlign w:val="center"/>
          </w:tcPr>
          <w:p w14:paraId="20D8957E">
            <w:pPr>
              <w:jc w:val="center"/>
              <w:rPr>
                <w:rFonts w:ascii="Times New Roman" w:hAnsi="Times New Roman" w:cs="Times New Roman" w:eastAsiaTheme="majorEastAsia"/>
              </w:rPr>
            </w:pPr>
            <w:r>
              <w:rPr>
                <w:rFonts w:ascii="Times New Roman" w:hAnsi="Times New Roman" w:cs="Times New Roman" w:eastAsiaTheme="majorEastAsia"/>
                <w:sz w:val="24"/>
                <w:szCs w:val="24"/>
              </w:rPr>
              <w:t>软件著作权登记</w:t>
            </w:r>
          </w:p>
        </w:tc>
        <w:tc>
          <w:tcPr>
            <w:tcW w:w="2130" w:type="dxa"/>
            <w:tcBorders>
              <w:top w:val="single" w:color="000000" w:sz="8" w:space="0"/>
              <w:left w:val="single" w:color="000000" w:sz="8" w:space="0"/>
              <w:bottom w:val="single" w:color="000000" w:sz="8" w:space="0"/>
              <w:right w:val="single" w:color="000000" w:sz="8" w:space="0"/>
            </w:tcBorders>
            <w:vAlign w:val="center"/>
          </w:tcPr>
          <w:p w14:paraId="2930D851">
            <w:pPr>
              <w:jc w:val="center"/>
              <w:rPr>
                <w:rFonts w:ascii="Times New Roman" w:hAnsi="Times New Roman" w:cs="Times New Roman" w:eastAsiaTheme="majorEastAsia"/>
              </w:rPr>
            </w:pPr>
            <w:r>
              <w:rPr>
                <w:rFonts w:ascii="Times New Roman" w:hAnsi="Times New Roman" w:cs="Times New Roman" w:eastAsiaTheme="majorEastAsia"/>
                <w:sz w:val="24"/>
                <w:szCs w:val="24"/>
              </w:rPr>
              <w:t>5</w:t>
            </w:r>
          </w:p>
        </w:tc>
        <w:tc>
          <w:tcPr>
            <w:tcW w:w="3690" w:type="dxa"/>
            <w:vMerge w:val="continue"/>
            <w:tcBorders>
              <w:top w:val="single" w:color="000000" w:sz="8" w:space="0"/>
              <w:left w:val="single" w:color="000000" w:sz="8" w:space="0"/>
              <w:bottom w:val="single" w:color="000000" w:sz="8" w:space="0"/>
              <w:right w:val="single" w:color="000000" w:sz="8" w:space="0"/>
            </w:tcBorders>
            <w:vAlign w:val="center"/>
          </w:tcPr>
          <w:p w14:paraId="166F7444">
            <w:pPr>
              <w:jc w:val="center"/>
              <w:rPr>
                <w:rFonts w:ascii="Times New Roman" w:hAnsi="Times New Roman" w:cs="Times New Roman" w:eastAsiaTheme="majorEastAsia"/>
              </w:rPr>
            </w:pPr>
          </w:p>
        </w:tc>
      </w:tr>
    </w:tbl>
    <w:p w14:paraId="52452EFD">
      <w:pPr>
        <w:pStyle w:val="5"/>
        <w:spacing w:before="0" w:after="0"/>
        <w:ind w:firstLine="420" w:firstLineChars="200"/>
        <w:jc w:val="left"/>
        <w:outlineLvl w:val="9"/>
        <w:rPr>
          <w:rFonts w:ascii="Times New Roman" w:hAnsi="Times New Roman" w:cs="Times New Roman"/>
          <w:b w:val="0"/>
          <w:bCs w:val="0"/>
          <w:sz w:val="21"/>
          <w:szCs w:val="21"/>
        </w:rPr>
      </w:pPr>
      <w:r>
        <w:rPr>
          <w:rFonts w:ascii="Times New Roman" w:hAnsi="Times New Roman" w:cs="Times New Roman"/>
          <w:b w:val="0"/>
          <w:bCs w:val="0"/>
          <w:sz w:val="21"/>
          <w:szCs w:val="21"/>
        </w:rPr>
        <w:t>注：</w:t>
      </w:r>
      <w:r>
        <w:rPr>
          <w:rFonts w:hint="eastAsia" w:ascii="Times New Roman" w:hAnsi="Times New Roman" w:cs="Times New Roman"/>
          <w:b w:val="0"/>
          <w:bCs w:val="0"/>
          <w:sz w:val="21"/>
          <w:szCs w:val="21"/>
        </w:rPr>
        <w:t>只认定一项专利（软著），且与所学专业相关；只加分前三名；专利（软著）原件，需要指导教师签字认可的证明，包括专利（软著）发明人排序信息。</w:t>
      </w:r>
    </w:p>
    <w:p w14:paraId="7723BBC7">
      <w:pPr>
        <w:pStyle w:val="5"/>
        <w:spacing w:before="0" w:after="0" w:line="560" w:lineRule="exact"/>
        <w:ind w:firstLine="643" w:firstLineChars="200"/>
        <w:jc w:val="both"/>
        <w:outlineLvl w:val="2"/>
        <w:rPr>
          <w:rFonts w:ascii="仿宋" w:hAnsi="仿宋" w:eastAsia="仿宋"/>
          <w:bCs w:val="0"/>
        </w:rPr>
      </w:pPr>
      <w:r>
        <w:rPr>
          <w:rFonts w:ascii="仿宋" w:hAnsi="仿宋" w:eastAsia="仿宋"/>
          <w:bCs w:val="0"/>
        </w:rPr>
        <w:t>3.学科竞赛获奖</w:t>
      </w:r>
    </w:p>
    <w:p w14:paraId="72CE1601">
      <w:pPr>
        <w:pStyle w:val="5"/>
        <w:spacing w:before="0" w:after="0" w:line="560" w:lineRule="exact"/>
        <w:ind w:firstLine="640" w:firstLineChars="200"/>
        <w:jc w:val="both"/>
        <w:outlineLvl w:val="9"/>
        <w:rPr>
          <w:rFonts w:ascii="仿宋" w:hAnsi="仿宋" w:eastAsia="仿宋" w:cstheme="minorBidi"/>
          <w:b w:val="0"/>
          <w:bCs w:val="0"/>
        </w:rPr>
      </w:pPr>
      <w:r>
        <w:rPr>
          <w:rFonts w:hint="eastAsia" w:ascii="仿宋" w:hAnsi="仿宋" w:eastAsia="仿宋" w:cstheme="minorBidi"/>
          <w:b w:val="0"/>
          <w:bCs w:val="0"/>
          <w:lang w:eastAsia="zh-CN"/>
        </w:rPr>
        <w:t>截止</w:t>
      </w:r>
      <w:r>
        <w:rPr>
          <w:rFonts w:ascii="仿宋" w:hAnsi="仿宋" w:eastAsia="仿宋" w:cstheme="minorBidi"/>
          <w:b w:val="0"/>
          <w:bCs w:val="0"/>
        </w:rPr>
        <w:t>该年度9月7日，申请者在各级各类学科竞赛中获奖，按照以下标准获得相应分值：</w:t>
      </w:r>
    </w:p>
    <w:p w14:paraId="1757AC7F"/>
    <w:tbl>
      <w:tblPr>
        <w:tblStyle w:val="6"/>
        <w:tblW w:w="9180" w:type="dxa"/>
        <w:jc w:val="center"/>
        <w:tblLayout w:type="fixed"/>
        <w:tblCellMar>
          <w:top w:w="0" w:type="dxa"/>
          <w:left w:w="108" w:type="dxa"/>
          <w:bottom w:w="0" w:type="dxa"/>
          <w:right w:w="108" w:type="dxa"/>
        </w:tblCellMar>
      </w:tblPr>
      <w:tblGrid>
        <w:gridCol w:w="3465"/>
        <w:gridCol w:w="1875"/>
        <w:gridCol w:w="1950"/>
        <w:gridCol w:w="1890"/>
      </w:tblGrid>
      <w:tr w14:paraId="4913A887">
        <w:tblPrEx>
          <w:tblCellMar>
            <w:top w:w="0" w:type="dxa"/>
            <w:left w:w="108" w:type="dxa"/>
            <w:bottom w:w="0" w:type="dxa"/>
            <w:right w:w="108" w:type="dxa"/>
          </w:tblCellMar>
        </w:tblPrEx>
        <w:trPr>
          <w:trHeight w:val="450" w:hRule="atLeast"/>
          <w:jc w:val="center"/>
        </w:trPr>
        <w:tc>
          <w:tcPr>
            <w:tcW w:w="3465" w:type="dxa"/>
            <w:vMerge w:val="restart"/>
            <w:tcBorders>
              <w:top w:val="single" w:color="000000" w:sz="8" w:space="0"/>
              <w:left w:val="single" w:color="000000" w:sz="8" w:space="0"/>
              <w:bottom w:val="single" w:color="000000" w:sz="8" w:space="0"/>
              <w:right w:val="single" w:color="000000" w:sz="8" w:space="0"/>
            </w:tcBorders>
            <w:vAlign w:val="center"/>
          </w:tcPr>
          <w:p w14:paraId="315A6F23">
            <w:pPr>
              <w:jc w:val="center"/>
              <w:rPr>
                <w:rFonts w:ascii="Times New Roman" w:hAnsi="Times New Roman" w:cs="Times New Roman" w:eastAsiaTheme="majorEastAsia"/>
                <w:b/>
              </w:rPr>
            </w:pPr>
            <w:r>
              <w:rPr>
                <w:rFonts w:ascii="Times New Roman" w:hAnsi="Times New Roman" w:cs="Times New Roman" w:eastAsiaTheme="majorEastAsia"/>
                <w:b/>
                <w:sz w:val="24"/>
                <w:szCs w:val="24"/>
              </w:rPr>
              <w:t>项目级别</w:t>
            </w:r>
          </w:p>
        </w:tc>
        <w:tc>
          <w:tcPr>
            <w:tcW w:w="5715" w:type="dxa"/>
            <w:gridSpan w:val="3"/>
            <w:tcBorders>
              <w:top w:val="single" w:color="000000" w:sz="8" w:space="0"/>
              <w:left w:val="single" w:color="000000" w:sz="8" w:space="0"/>
              <w:bottom w:val="single" w:color="000000" w:sz="8" w:space="0"/>
              <w:right w:val="single" w:color="000000" w:sz="8" w:space="0"/>
            </w:tcBorders>
            <w:vAlign w:val="center"/>
          </w:tcPr>
          <w:p w14:paraId="0B9F2295">
            <w:pPr>
              <w:jc w:val="center"/>
              <w:rPr>
                <w:rFonts w:ascii="Times New Roman" w:hAnsi="Times New Roman" w:cs="Times New Roman" w:eastAsiaTheme="majorEastAsia"/>
                <w:b/>
              </w:rPr>
            </w:pPr>
            <w:r>
              <w:rPr>
                <w:rFonts w:ascii="Times New Roman" w:hAnsi="Times New Roman" w:cs="Times New Roman" w:eastAsiaTheme="majorEastAsia"/>
                <w:b/>
                <w:sz w:val="24"/>
                <w:szCs w:val="24"/>
              </w:rPr>
              <w:t>分值标准</w:t>
            </w:r>
          </w:p>
        </w:tc>
      </w:tr>
      <w:tr w14:paraId="3374DB49">
        <w:tblPrEx>
          <w:tblCellMar>
            <w:top w:w="0" w:type="dxa"/>
            <w:left w:w="108" w:type="dxa"/>
            <w:bottom w:w="0" w:type="dxa"/>
            <w:right w:w="108" w:type="dxa"/>
          </w:tblCellMar>
        </w:tblPrEx>
        <w:trPr>
          <w:trHeight w:val="450" w:hRule="atLeast"/>
          <w:jc w:val="center"/>
        </w:trPr>
        <w:tc>
          <w:tcPr>
            <w:tcW w:w="3465" w:type="dxa"/>
            <w:vMerge w:val="continue"/>
            <w:tcBorders>
              <w:top w:val="single" w:color="000000" w:sz="8" w:space="0"/>
              <w:left w:val="single" w:color="000000" w:sz="8" w:space="0"/>
              <w:bottom w:val="single" w:color="000000" w:sz="8" w:space="0"/>
              <w:right w:val="single" w:color="000000" w:sz="8" w:space="0"/>
            </w:tcBorders>
            <w:vAlign w:val="center"/>
          </w:tcPr>
          <w:p w14:paraId="3CD24F20">
            <w:pPr>
              <w:jc w:val="center"/>
              <w:rPr>
                <w:rFonts w:ascii="Times New Roman" w:hAnsi="Times New Roman" w:cs="Times New Roman" w:eastAsiaTheme="majorEastAsia"/>
                <w:b/>
              </w:rPr>
            </w:pPr>
          </w:p>
        </w:tc>
        <w:tc>
          <w:tcPr>
            <w:tcW w:w="1875" w:type="dxa"/>
            <w:tcBorders>
              <w:top w:val="single" w:color="000000" w:sz="8" w:space="0"/>
              <w:left w:val="single" w:color="000000" w:sz="8" w:space="0"/>
              <w:bottom w:val="single" w:color="000000" w:sz="8" w:space="0"/>
              <w:right w:val="single" w:color="000000" w:sz="8" w:space="0"/>
            </w:tcBorders>
            <w:vAlign w:val="center"/>
          </w:tcPr>
          <w:p w14:paraId="24A09F37">
            <w:pPr>
              <w:jc w:val="center"/>
              <w:rPr>
                <w:rFonts w:hint="eastAsia" w:ascii="Times New Roman" w:hAnsi="Times New Roman" w:cs="Times New Roman" w:eastAsiaTheme="majorEastAsia"/>
                <w:b/>
                <w:lang w:eastAsia="zh-CN"/>
              </w:rPr>
            </w:pPr>
            <w:r>
              <w:rPr>
                <w:rFonts w:hint="eastAsia" w:ascii="Times New Roman" w:hAnsi="Times New Roman" w:cs="Times New Roman" w:eastAsiaTheme="majorEastAsia"/>
                <w:b/>
                <w:sz w:val="24"/>
                <w:szCs w:val="24"/>
                <w:lang w:val="en-US" w:eastAsia="zh-CN"/>
              </w:rPr>
              <w:t>最高级别</w:t>
            </w:r>
          </w:p>
        </w:tc>
        <w:tc>
          <w:tcPr>
            <w:tcW w:w="1950" w:type="dxa"/>
            <w:tcBorders>
              <w:top w:val="single" w:color="000000" w:sz="8" w:space="0"/>
              <w:left w:val="single" w:color="000000" w:sz="8" w:space="0"/>
              <w:bottom w:val="single" w:color="000000" w:sz="8" w:space="0"/>
              <w:right w:val="single" w:color="000000" w:sz="8" w:space="0"/>
            </w:tcBorders>
            <w:vAlign w:val="center"/>
          </w:tcPr>
          <w:p w14:paraId="33476218">
            <w:pPr>
              <w:jc w:val="center"/>
              <w:rPr>
                <w:rFonts w:ascii="Times New Roman" w:hAnsi="Times New Roman" w:cs="Times New Roman" w:eastAsiaTheme="majorEastAsia"/>
                <w:b/>
              </w:rPr>
            </w:pPr>
            <w:r>
              <w:rPr>
                <w:rFonts w:hint="eastAsia" w:ascii="Times New Roman" w:hAnsi="Times New Roman" w:cs="Times New Roman" w:eastAsiaTheme="majorEastAsia"/>
                <w:b/>
                <w:sz w:val="24"/>
                <w:szCs w:val="24"/>
                <w:lang w:val="en-US" w:eastAsia="zh-CN"/>
              </w:rPr>
              <w:t>次高级别</w:t>
            </w:r>
          </w:p>
        </w:tc>
        <w:tc>
          <w:tcPr>
            <w:tcW w:w="1890" w:type="dxa"/>
            <w:tcBorders>
              <w:top w:val="single" w:color="000000" w:sz="8" w:space="0"/>
              <w:left w:val="single" w:color="000000" w:sz="8" w:space="0"/>
              <w:bottom w:val="single" w:color="000000" w:sz="8" w:space="0"/>
              <w:right w:val="single" w:color="000000" w:sz="8" w:space="0"/>
            </w:tcBorders>
            <w:vAlign w:val="center"/>
          </w:tcPr>
          <w:p w14:paraId="79D0E182">
            <w:pPr>
              <w:jc w:val="center"/>
              <w:rPr>
                <w:rFonts w:ascii="Times New Roman" w:hAnsi="Times New Roman" w:cs="Times New Roman" w:eastAsiaTheme="majorEastAsia"/>
                <w:b/>
              </w:rPr>
            </w:pPr>
            <w:r>
              <w:rPr>
                <w:rFonts w:hint="eastAsia" w:ascii="Times New Roman" w:hAnsi="Times New Roman" w:cs="Times New Roman" w:eastAsiaTheme="majorEastAsia"/>
                <w:b/>
                <w:sz w:val="24"/>
                <w:szCs w:val="24"/>
                <w:lang w:val="en-US" w:eastAsia="zh-CN"/>
              </w:rPr>
              <w:t>第三级别</w:t>
            </w:r>
          </w:p>
        </w:tc>
      </w:tr>
      <w:tr w14:paraId="65CC7987">
        <w:tblPrEx>
          <w:tblCellMar>
            <w:top w:w="0" w:type="dxa"/>
            <w:left w:w="108" w:type="dxa"/>
            <w:bottom w:w="0" w:type="dxa"/>
            <w:right w:w="108" w:type="dxa"/>
          </w:tblCellMar>
        </w:tblPrEx>
        <w:trPr>
          <w:trHeight w:val="450" w:hRule="atLeast"/>
          <w:jc w:val="center"/>
        </w:trPr>
        <w:tc>
          <w:tcPr>
            <w:tcW w:w="3465" w:type="dxa"/>
            <w:tcBorders>
              <w:top w:val="single" w:color="000000" w:sz="8" w:space="0"/>
              <w:left w:val="single" w:color="000000" w:sz="8" w:space="0"/>
              <w:bottom w:val="single" w:color="000000" w:sz="8" w:space="0"/>
              <w:right w:val="single" w:color="000000" w:sz="8" w:space="0"/>
            </w:tcBorders>
            <w:vAlign w:val="center"/>
          </w:tcPr>
          <w:p w14:paraId="56A6ECA4">
            <w:pPr>
              <w:jc w:val="center"/>
              <w:rPr>
                <w:rFonts w:ascii="Times New Roman" w:hAnsi="Times New Roman" w:cs="Times New Roman" w:eastAsiaTheme="majorEastAsia"/>
              </w:rPr>
            </w:pPr>
            <w:r>
              <w:rPr>
                <w:rFonts w:ascii="Times New Roman" w:hAnsi="Times New Roman" w:cs="Times New Roman" w:eastAsiaTheme="majorEastAsia"/>
                <w:sz w:val="24"/>
                <w:szCs w:val="24"/>
              </w:rPr>
              <w:t>国家级学科竞赛</w:t>
            </w:r>
          </w:p>
        </w:tc>
        <w:tc>
          <w:tcPr>
            <w:tcW w:w="1875" w:type="dxa"/>
            <w:tcBorders>
              <w:top w:val="single" w:color="000000" w:sz="8" w:space="0"/>
              <w:left w:val="single" w:color="000000" w:sz="8" w:space="0"/>
              <w:bottom w:val="single" w:color="000000" w:sz="8" w:space="0"/>
              <w:right w:val="single" w:color="000000" w:sz="8" w:space="0"/>
            </w:tcBorders>
            <w:vAlign w:val="center"/>
          </w:tcPr>
          <w:p w14:paraId="5EF38180">
            <w:pPr>
              <w:jc w:val="center"/>
              <w:rPr>
                <w:rFonts w:ascii="Times New Roman" w:hAnsi="Times New Roman" w:cs="Times New Roman" w:eastAsiaTheme="majorEastAsia"/>
              </w:rPr>
            </w:pPr>
            <w:r>
              <w:rPr>
                <w:rFonts w:ascii="Times New Roman" w:hAnsi="Times New Roman" w:cs="Times New Roman" w:eastAsiaTheme="majorEastAsia"/>
                <w:sz w:val="24"/>
                <w:szCs w:val="24"/>
              </w:rPr>
              <w:t>30</w:t>
            </w:r>
          </w:p>
        </w:tc>
        <w:tc>
          <w:tcPr>
            <w:tcW w:w="1950" w:type="dxa"/>
            <w:tcBorders>
              <w:top w:val="single" w:color="000000" w:sz="8" w:space="0"/>
              <w:left w:val="single" w:color="000000" w:sz="8" w:space="0"/>
              <w:bottom w:val="single" w:color="000000" w:sz="8" w:space="0"/>
              <w:right w:val="single" w:color="000000" w:sz="8" w:space="0"/>
            </w:tcBorders>
            <w:vAlign w:val="center"/>
          </w:tcPr>
          <w:p w14:paraId="02408AD7">
            <w:pPr>
              <w:jc w:val="center"/>
              <w:rPr>
                <w:rFonts w:ascii="Times New Roman" w:hAnsi="Times New Roman" w:cs="Times New Roman" w:eastAsiaTheme="majorEastAsia"/>
              </w:rPr>
            </w:pPr>
            <w:r>
              <w:rPr>
                <w:rFonts w:ascii="Times New Roman" w:hAnsi="Times New Roman" w:cs="Times New Roman" w:eastAsiaTheme="majorEastAsia"/>
                <w:sz w:val="24"/>
                <w:szCs w:val="24"/>
              </w:rPr>
              <w:t>20</w:t>
            </w:r>
          </w:p>
        </w:tc>
        <w:tc>
          <w:tcPr>
            <w:tcW w:w="1890" w:type="dxa"/>
            <w:tcBorders>
              <w:top w:val="single" w:color="000000" w:sz="8" w:space="0"/>
              <w:left w:val="single" w:color="000000" w:sz="8" w:space="0"/>
              <w:bottom w:val="single" w:color="000000" w:sz="8" w:space="0"/>
              <w:right w:val="single" w:color="000000" w:sz="8" w:space="0"/>
            </w:tcBorders>
            <w:vAlign w:val="center"/>
          </w:tcPr>
          <w:p w14:paraId="218D6FA1">
            <w:pPr>
              <w:jc w:val="center"/>
              <w:rPr>
                <w:rFonts w:ascii="Times New Roman" w:hAnsi="Times New Roman" w:cs="Times New Roman" w:eastAsiaTheme="majorEastAsia"/>
              </w:rPr>
            </w:pPr>
            <w:r>
              <w:rPr>
                <w:rFonts w:ascii="Times New Roman" w:hAnsi="Times New Roman" w:cs="Times New Roman" w:eastAsiaTheme="majorEastAsia"/>
                <w:sz w:val="24"/>
                <w:szCs w:val="24"/>
              </w:rPr>
              <w:t>10</w:t>
            </w:r>
          </w:p>
        </w:tc>
      </w:tr>
      <w:tr w14:paraId="35916E07">
        <w:tblPrEx>
          <w:tblCellMar>
            <w:top w:w="0" w:type="dxa"/>
            <w:left w:w="108" w:type="dxa"/>
            <w:bottom w:w="0" w:type="dxa"/>
            <w:right w:w="108" w:type="dxa"/>
          </w:tblCellMar>
        </w:tblPrEx>
        <w:trPr>
          <w:trHeight w:val="450" w:hRule="atLeast"/>
          <w:jc w:val="center"/>
        </w:trPr>
        <w:tc>
          <w:tcPr>
            <w:tcW w:w="3465" w:type="dxa"/>
            <w:tcBorders>
              <w:top w:val="single" w:color="000000" w:sz="8" w:space="0"/>
              <w:left w:val="single" w:color="000000" w:sz="8" w:space="0"/>
              <w:bottom w:val="single" w:color="000000" w:sz="8" w:space="0"/>
              <w:right w:val="single" w:color="000000" w:sz="8" w:space="0"/>
            </w:tcBorders>
            <w:vAlign w:val="center"/>
          </w:tcPr>
          <w:p w14:paraId="4989C44F">
            <w:pPr>
              <w:jc w:val="center"/>
              <w:rPr>
                <w:rFonts w:ascii="Times New Roman" w:hAnsi="Times New Roman" w:cs="Times New Roman" w:eastAsiaTheme="majorEastAsia"/>
              </w:rPr>
            </w:pPr>
            <w:r>
              <w:rPr>
                <w:rFonts w:ascii="Times New Roman" w:hAnsi="Times New Roman" w:cs="Times New Roman" w:eastAsiaTheme="majorEastAsia"/>
                <w:sz w:val="24"/>
                <w:szCs w:val="24"/>
              </w:rPr>
              <w:t>省部级学科竞赛</w:t>
            </w:r>
          </w:p>
        </w:tc>
        <w:tc>
          <w:tcPr>
            <w:tcW w:w="1875" w:type="dxa"/>
            <w:tcBorders>
              <w:top w:val="single" w:color="000000" w:sz="8" w:space="0"/>
              <w:left w:val="single" w:color="000000" w:sz="8" w:space="0"/>
              <w:bottom w:val="single" w:color="000000" w:sz="8" w:space="0"/>
              <w:right w:val="single" w:color="000000" w:sz="8" w:space="0"/>
            </w:tcBorders>
            <w:vAlign w:val="center"/>
          </w:tcPr>
          <w:p w14:paraId="09C4DC09">
            <w:pPr>
              <w:jc w:val="center"/>
              <w:rPr>
                <w:rFonts w:ascii="Times New Roman" w:hAnsi="Times New Roman" w:cs="Times New Roman" w:eastAsiaTheme="majorEastAsia"/>
              </w:rPr>
            </w:pPr>
            <w:r>
              <w:rPr>
                <w:rFonts w:ascii="Times New Roman" w:hAnsi="Times New Roman" w:cs="Times New Roman" w:eastAsiaTheme="majorEastAsia"/>
                <w:sz w:val="24"/>
                <w:szCs w:val="24"/>
              </w:rPr>
              <w:t>20</w:t>
            </w:r>
          </w:p>
        </w:tc>
        <w:tc>
          <w:tcPr>
            <w:tcW w:w="1950" w:type="dxa"/>
            <w:tcBorders>
              <w:top w:val="single" w:color="000000" w:sz="8" w:space="0"/>
              <w:left w:val="single" w:color="000000" w:sz="8" w:space="0"/>
              <w:bottom w:val="single" w:color="000000" w:sz="8" w:space="0"/>
              <w:right w:val="single" w:color="000000" w:sz="8" w:space="0"/>
            </w:tcBorders>
            <w:vAlign w:val="center"/>
          </w:tcPr>
          <w:p w14:paraId="5A9414CC">
            <w:pPr>
              <w:jc w:val="center"/>
              <w:rPr>
                <w:rFonts w:ascii="Times New Roman" w:hAnsi="Times New Roman" w:cs="Times New Roman" w:eastAsiaTheme="majorEastAsia"/>
              </w:rPr>
            </w:pPr>
            <w:r>
              <w:rPr>
                <w:rFonts w:ascii="Times New Roman" w:hAnsi="Times New Roman" w:cs="Times New Roman" w:eastAsiaTheme="majorEastAsia"/>
                <w:sz w:val="24"/>
                <w:szCs w:val="24"/>
              </w:rPr>
              <w:t>10</w:t>
            </w:r>
          </w:p>
        </w:tc>
        <w:tc>
          <w:tcPr>
            <w:tcW w:w="1890" w:type="dxa"/>
            <w:tcBorders>
              <w:top w:val="single" w:color="000000" w:sz="8" w:space="0"/>
              <w:left w:val="single" w:color="000000" w:sz="8" w:space="0"/>
              <w:bottom w:val="single" w:color="000000" w:sz="8" w:space="0"/>
              <w:right w:val="single" w:color="000000" w:sz="8" w:space="0"/>
            </w:tcBorders>
            <w:vAlign w:val="center"/>
          </w:tcPr>
          <w:p w14:paraId="71C340A7">
            <w:pPr>
              <w:jc w:val="center"/>
              <w:rPr>
                <w:rFonts w:ascii="Times New Roman" w:hAnsi="Times New Roman" w:cs="Times New Roman" w:eastAsiaTheme="majorEastAsia"/>
              </w:rPr>
            </w:pPr>
            <w:r>
              <w:rPr>
                <w:rFonts w:ascii="Times New Roman" w:hAnsi="Times New Roman" w:cs="Times New Roman" w:eastAsiaTheme="majorEastAsia"/>
                <w:sz w:val="24"/>
                <w:szCs w:val="24"/>
              </w:rPr>
              <w:t>5</w:t>
            </w:r>
          </w:p>
        </w:tc>
      </w:tr>
      <w:tr w14:paraId="70AD1202">
        <w:tblPrEx>
          <w:tblCellMar>
            <w:top w:w="0" w:type="dxa"/>
            <w:left w:w="108" w:type="dxa"/>
            <w:bottom w:w="0" w:type="dxa"/>
            <w:right w:w="108" w:type="dxa"/>
          </w:tblCellMar>
        </w:tblPrEx>
        <w:trPr>
          <w:trHeight w:val="450" w:hRule="atLeast"/>
          <w:jc w:val="center"/>
        </w:trPr>
        <w:tc>
          <w:tcPr>
            <w:tcW w:w="3465" w:type="dxa"/>
            <w:tcBorders>
              <w:top w:val="single" w:color="000000" w:sz="8" w:space="0"/>
              <w:left w:val="single" w:color="000000" w:sz="8" w:space="0"/>
              <w:bottom w:val="single" w:color="000000" w:sz="8" w:space="0"/>
              <w:right w:val="single" w:color="000000" w:sz="8" w:space="0"/>
            </w:tcBorders>
            <w:vAlign w:val="center"/>
          </w:tcPr>
          <w:p w14:paraId="2CEF9E16">
            <w:pPr>
              <w:jc w:val="center"/>
              <w:rPr>
                <w:rFonts w:ascii="Times New Roman" w:hAnsi="Times New Roman" w:cs="Times New Roman" w:eastAsiaTheme="majorEastAsia"/>
              </w:rPr>
            </w:pPr>
            <w:r>
              <w:rPr>
                <w:rFonts w:ascii="Times New Roman" w:hAnsi="Times New Roman" w:cs="Times New Roman" w:eastAsiaTheme="majorEastAsia"/>
                <w:sz w:val="24"/>
                <w:szCs w:val="24"/>
              </w:rPr>
              <w:t>校级学科竞赛</w:t>
            </w:r>
          </w:p>
        </w:tc>
        <w:tc>
          <w:tcPr>
            <w:tcW w:w="1875" w:type="dxa"/>
            <w:tcBorders>
              <w:top w:val="single" w:color="000000" w:sz="8" w:space="0"/>
              <w:left w:val="single" w:color="000000" w:sz="8" w:space="0"/>
              <w:bottom w:val="single" w:color="000000" w:sz="8" w:space="0"/>
              <w:right w:val="single" w:color="000000" w:sz="8" w:space="0"/>
            </w:tcBorders>
            <w:vAlign w:val="center"/>
          </w:tcPr>
          <w:p w14:paraId="2349903B">
            <w:pPr>
              <w:jc w:val="center"/>
              <w:rPr>
                <w:rFonts w:ascii="Times New Roman" w:hAnsi="Times New Roman" w:cs="Times New Roman" w:eastAsiaTheme="majorEastAsia"/>
              </w:rPr>
            </w:pPr>
            <w:r>
              <w:rPr>
                <w:rFonts w:ascii="Times New Roman" w:hAnsi="Times New Roman" w:cs="Times New Roman" w:eastAsiaTheme="majorEastAsia"/>
                <w:sz w:val="24"/>
                <w:szCs w:val="24"/>
              </w:rPr>
              <w:t>10</w:t>
            </w:r>
          </w:p>
        </w:tc>
        <w:tc>
          <w:tcPr>
            <w:tcW w:w="1950" w:type="dxa"/>
            <w:tcBorders>
              <w:top w:val="single" w:color="000000" w:sz="8" w:space="0"/>
              <w:left w:val="single" w:color="000000" w:sz="8" w:space="0"/>
              <w:bottom w:val="single" w:color="000000" w:sz="8" w:space="0"/>
              <w:right w:val="single" w:color="000000" w:sz="8" w:space="0"/>
            </w:tcBorders>
            <w:vAlign w:val="center"/>
          </w:tcPr>
          <w:p w14:paraId="3F920506">
            <w:pPr>
              <w:jc w:val="center"/>
              <w:rPr>
                <w:rFonts w:ascii="Times New Roman" w:hAnsi="Times New Roman" w:cs="Times New Roman" w:eastAsiaTheme="majorEastAsia"/>
              </w:rPr>
            </w:pPr>
            <w:r>
              <w:rPr>
                <w:rFonts w:ascii="Times New Roman" w:hAnsi="Times New Roman" w:cs="Times New Roman" w:eastAsiaTheme="majorEastAsia"/>
                <w:sz w:val="24"/>
                <w:szCs w:val="24"/>
              </w:rPr>
              <w:t>5</w:t>
            </w:r>
          </w:p>
        </w:tc>
        <w:tc>
          <w:tcPr>
            <w:tcW w:w="1890" w:type="dxa"/>
            <w:tcBorders>
              <w:top w:val="single" w:color="000000" w:sz="8" w:space="0"/>
              <w:left w:val="single" w:color="000000" w:sz="8" w:space="0"/>
              <w:bottom w:val="single" w:color="000000" w:sz="8" w:space="0"/>
              <w:right w:val="single" w:color="000000" w:sz="8" w:space="0"/>
            </w:tcBorders>
            <w:vAlign w:val="center"/>
          </w:tcPr>
          <w:p w14:paraId="7127F29B">
            <w:pPr>
              <w:jc w:val="center"/>
              <w:rPr>
                <w:rFonts w:ascii="Times New Roman" w:hAnsi="Times New Roman" w:cs="Times New Roman" w:eastAsiaTheme="majorEastAsia"/>
              </w:rPr>
            </w:pPr>
            <w:r>
              <w:rPr>
                <w:rFonts w:ascii="Times New Roman" w:hAnsi="Times New Roman" w:cs="Times New Roman" w:eastAsiaTheme="majorEastAsia"/>
                <w:sz w:val="24"/>
                <w:szCs w:val="24"/>
              </w:rPr>
              <w:t>3</w:t>
            </w:r>
          </w:p>
        </w:tc>
      </w:tr>
    </w:tbl>
    <w:p w14:paraId="37D7B8FF">
      <w:pPr>
        <w:pStyle w:val="5"/>
        <w:spacing w:before="0" w:after="0" w:line="280" w:lineRule="exact"/>
        <w:ind w:firstLine="420" w:firstLineChars="200"/>
        <w:jc w:val="left"/>
        <w:outlineLvl w:val="9"/>
        <w:rPr>
          <w:rFonts w:ascii="Times New Roman" w:hAnsi="Times New Roman" w:cs="Times New Roman"/>
          <w:b w:val="0"/>
          <w:bCs w:val="0"/>
          <w:sz w:val="21"/>
          <w:szCs w:val="21"/>
        </w:rPr>
      </w:pPr>
      <w:r>
        <w:rPr>
          <w:rFonts w:ascii="Times New Roman" w:hAnsi="Times New Roman" w:cs="Times New Roman"/>
          <w:b w:val="0"/>
          <w:bCs w:val="0"/>
          <w:sz w:val="21"/>
          <w:szCs w:val="21"/>
        </w:rPr>
        <w:t>注：</w:t>
      </w:r>
      <w:r>
        <w:rPr>
          <w:rFonts w:hint="eastAsia" w:ascii="宋体" w:hAnsi="宋体" w:eastAsia="宋体" w:cs="宋体"/>
          <w:b w:val="0"/>
          <w:bCs w:val="0"/>
          <w:sz w:val="21"/>
          <w:szCs w:val="21"/>
        </w:rPr>
        <w:t>①</w:t>
      </w:r>
      <w:r>
        <w:rPr>
          <w:rFonts w:ascii="Times New Roman" w:hAnsi="Times New Roman" w:cs="Times New Roman"/>
          <w:b w:val="0"/>
          <w:bCs w:val="0"/>
          <w:sz w:val="21"/>
          <w:szCs w:val="21"/>
        </w:rPr>
        <w:t>若以团队形式获国家级及省部级奖励，则按照排名5分递减</w:t>
      </w:r>
      <w:r>
        <w:rPr>
          <w:rFonts w:hint="eastAsia" w:ascii="Times New Roman" w:hAnsi="Times New Roman" w:cs="Times New Roman"/>
          <w:b w:val="0"/>
          <w:bCs w:val="0"/>
          <w:sz w:val="21"/>
          <w:szCs w:val="21"/>
        </w:rPr>
        <w:t>，不足5分按照2.5分计</w:t>
      </w:r>
      <w:r>
        <w:rPr>
          <w:rFonts w:ascii="Times New Roman" w:hAnsi="Times New Roman" w:cs="Times New Roman"/>
          <w:b w:val="0"/>
          <w:bCs w:val="0"/>
          <w:sz w:val="21"/>
          <w:szCs w:val="21"/>
        </w:rPr>
        <w:t>；</w:t>
      </w:r>
      <w:r>
        <w:rPr>
          <w:rFonts w:hint="eastAsia" w:ascii="宋体" w:hAnsi="宋体" w:eastAsia="宋体" w:cs="宋体"/>
          <w:b w:val="0"/>
          <w:bCs w:val="0"/>
          <w:sz w:val="21"/>
          <w:szCs w:val="21"/>
        </w:rPr>
        <w:t>②</w:t>
      </w:r>
      <w:r>
        <w:rPr>
          <w:rFonts w:ascii="Times New Roman" w:hAnsi="Times New Roman" w:cs="Times New Roman"/>
          <w:b w:val="0"/>
          <w:bCs w:val="0"/>
          <w:sz w:val="21"/>
          <w:szCs w:val="21"/>
        </w:rPr>
        <w:t>若以团队形式获校级奖励，则按照排名2分递减</w:t>
      </w:r>
      <w:r>
        <w:rPr>
          <w:rFonts w:hint="eastAsia" w:ascii="Times New Roman" w:hAnsi="Times New Roman" w:cs="Times New Roman"/>
          <w:b w:val="0"/>
          <w:bCs w:val="0"/>
          <w:sz w:val="21"/>
          <w:szCs w:val="21"/>
        </w:rPr>
        <w:t>，不足2分按照1分计；每个竞赛项目获不同级别奖项的，以最高分值计，不累计；④</w:t>
      </w:r>
      <w:r>
        <w:rPr>
          <w:rFonts w:ascii="Times New Roman" w:hAnsi="Times New Roman" w:cs="Times New Roman"/>
          <w:b w:val="0"/>
          <w:bCs w:val="0"/>
          <w:sz w:val="21"/>
          <w:szCs w:val="21"/>
        </w:rPr>
        <w:t>学科竞赛项目必须为教务处认定和备案的项目才能加分</w:t>
      </w:r>
      <w:r>
        <w:rPr>
          <w:rFonts w:hint="eastAsia" w:ascii="Times New Roman" w:hAnsi="Times New Roman" w:cs="Times New Roman"/>
          <w:b w:val="0"/>
          <w:bCs w:val="0"/>
          <w:sz w:val="21"/>
          <w:szCs w:val="21"/>
        </w:rPr>
        <w:t>；⑤相同竞赛主题（内容）项目以最高分值计，不累计；⑥本项目累计加分不超过50分。</w:t>
      </w:r>
    </w:p>
    <w:p w14:paraId="73B731F1">
      <w:pPr>
        <w:pStyle w:val="5"/>
        <w:spacing w:before="0" w:after="0" w:line="540" w:lineRule="exact"/>
        <w:ind w:firstLine="643" w:firstLineChars="200"/>
        <w:jc w:val="both"/>
        <w:outlineLvl w:val="2"/>
        <w:rPr>
          <w:rFonts w:ascii="仿宋" w:hAnsi="仿宋" w:eastAsia="仿宋" w:cstheme="minorBidi"/>
          <w:bCs w:val="0"/>
        </w:rPr>
      </w:pPr>
      <w:r>
        <w:rPr>
          <w:rFonts w:ascii="仿宋" w:hAnsi="仿宋" w:eastAsia="仿宋" w:cstheme="minorBidi"/>
          <w:bCs w:val="0"/>
        </w:rPr>
        <w:t>4.大学生创新创业训练项目完成情况</w:t>
      </w:r>
    </w:p>
    <w:p w14:paraId="7106ABF9">
      <w:pPr>
        <w:pStyle w:val="5"/>
        <w:spacing w:before="0" w:after="0" w:line="540" w:lineRule="exact"/>
        <w:ind w:firstLine="640" w:firstLineChars="200"/>
        <w:jc w:val="both"/>
        <w:outlineLvl w:val="9"/>
        <w:rPr>
          <w:rFonts w:ascii="仿宋" w:hAnsi="仿宋" w:eastAsia="仿宋" w:cstheme="minorBidi"/>
          <w:b w:val="0"/>
          <w:bCs w:val="0"/>
        </w:rPr>
      </w:pPr>
      <w:r>
        <w:rPr>
          <w:rFonts w:hint="eastAsia" w:ascii="仿宋" w:hAnsi="仿宋" w:eastAsia="仿宋" w:cstheme="minorBidi"/>
          <w:b w:val="0"/>
          <w:bCs w:val="0"/>
          <w:lang w:eastAsia="zh-CN"/>
        </w:rPr>
        <w:t>截止</w:t>
      </w:r>
      <w:r>
        <w:rPr>
          <w:rFonts w:ascii="仿宋" w:hAnsi="仿宋" w:eastAsia="仿宋" w:cstheme="minorBidi"/>
          <w:b w:val="0"/>
          <w:bCs w:val="0"/>
        </w:rPr>
        <w:t>该年度9月7日，科创项目参与人按照申请项目级别获得相应分值：</w:t>
      </w:r>
    </w:p>
    <w:tbl>
      <w:tblPr>
        <w:tblStyle w:val="6"/>
        <w:tblW w:w="8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1559"/>
        <w:gridCol w:w="1559"/>
        <w:gridCol w:w="3690"/>
      </w:tblGrid>
      <w:tr w14:paraId="5C7B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2" w:type="dxa"/>
            <w:vMerge w:val="restart"/>
            <w:vAlign w:val="center"/>
          </w:tcPr>
          <w:p w14:paraId="4D484CD0">
            <w:pPr>
              <w:jc w:val="center"/>
              <w:rPr>
                <w:rFonts w:ascii="Times New Roman" w:hAnsi="Times New Roman" w:cs="Times New Roman" w:eastAsiaTheme="majorEastAsia"/>
                <w:b/>
              </w:rPr>
            </w:pPr>
            <w:r>
              <w:rPr>
                <w:rFonts w:ascii="Times New Roman" w:hAnsi="Times New Roman" w:cs="Times New Roman" w:eastAsiaTheme="majorEastAsia"/>
                <w:b/>
                <w:sz w:val="24"/>
                <w:szCs w:val="24"/>
              </w:rPr>
              <w:t>项目级别</w:t>
            </w:r>
          </w:p>
        </w:tc>
        <w:tc>
          <w:tcPr>
            <w:tcW w:w="3118" w:type="dxa"/>
            <w:gridSpan w:val="2"/>
            <w:vAlign w:val="center"/>
          </w:tcPr>
          <w:p w14:paraId="3052BF03">
            <w:pPr>
              <w:jc w:val="center"/>
              <w:rPr>
                <w:rFonts w:ascii="Times New Roman" w:hAnsi="Times New Roman" w:cs="Times New Roman" w:eastAsiaTheme="majorEastAsia"/>
                <w:b/>
              </w:rPr>
            </w:pPr>
            <w:r>
              <w:rPr>
                <w:rFonts w:ascii="Times New Roman" w:hAnsi="Times New Roman" w:cs="Times New Roman" w:eastAsiaTheme="majorEastAsia"/>
                <w:b/>
                <w:sz w:val="24"/>
                <w:szCs w:val="24"/>
              </w:rPr>
              <w:t>分值标准</w:t>
            </w:r>
          </w:p>
        </w:tc>
        <w:tc>
          <w:tcPr>
            <w:tcW w:w="3690" w:type="dxa"/>
            <w:vMerge w:val="restart"/>
            <w:vAlign w:val="center"/>
          </w:tcPr>
          <w:p w14:paraId="24660F65">
            <w:pPr>
              <w:jc w:val="center"/>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分值调整系数</w:t>
            </w:r>
          </w:p>
        </w:tc>
      </w:tr>
      <w:tr w14:paraId="745D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2" w:type="dxa"/>
            <w:vMerge w:val="continue"/>
            <w:vAlign w:val="center"/>
          </w:tcPr>
          <w:p w14:paraId="5C31D548">
            <w:pPr>
              <w:jc w:val="center"/>
              <w:rPr>
                <w:rFonts w:ascii="Times New Roman" w:hAnsi="Times New Roman" w:cs="Times New Roman" w:eastAsiaTheme="majorEastAsia"/>
                <w:b/>
              </w:rPr>
            </w:pPr>
          </w:p>
        </w:tc>
        <w:tc>
          <w:tcPr>
            <w:tcW w:w="1559" w:type="dxa"/>
            <w:vAlign w:val="center"/>
          </w:tcPr>
          <w:p w14:paraId="3636DAF8">
            <w:pPr>
              <w:jc w:val="center"/>
              <w:rPr>
                <w:rFonts w:ascii="Times New Roman" w:hAnsi="Times New Roman" w:cs="Times New Roman" w:eastAsiaTheme="majorEastAsia"/>
                <w:b/>
              </w:rPr>
            </w:pPr>
            <w:r>
              <w:rPr>
                <w:rFonts w:ascii="Times New Roman" w:hAnsi="Times New Roman" w:cs="Times New Roman" w:eastAsiaTheme="majorEastAsia"/>
                <w:b/>
                <w:sz w:val="24"/>
                <w:szCs w:val="24"/>
              </w:rPr>
              <w:t>项目主持人</w:t>
            </w:r>
          </w:p>
        </w:tc>
        <w:tc>
          <w:tcPr>
            <w:tcW w:w="1559" w:type="dxa"/>
            <w:vAlign w:val="center"/>
          </w:tcPr>
          <w:p w14:paraId="74AD0096">
            <w:pPr>
              <w:jc w:val="center"/>
              <w:rPr>
                <w:rFonts w:ascii="Times New Roman" w:hAnsi="Times New Roman" w:cs="Times New Roman" w:eastAsiaTheme="majorEastAsia"/>
                <w:b/>
              </w:rPr>
            </w:pPr>
            <w:r>
              <w:rPr>
                <w:rFonts w:ascii="Times New Roman" w:hAnsi="Times New Roman" w:cs="Times New Roman" w:eastAsiaTheme="majorEastAsia"/>
                <w:b/>
                <w:sz w:val="24"/>
                <w:szCs w:val="24"/>
              </w:rPr>
              <w:t>项目组成员</w:t>
            </w:r>
          </w:p>
        </w:tc>
        <w:tc>
          <w:tcPr>
            <w:tcW w:w="3690" w:type="dxa"/>
            <w:vMerge w:val="continue"/>
            <w:vAlign w:val="center"/>
          </w:tcPr>
          <w:p w14:paraId="0BC5C3CD">
            <w:pPr>
              <w:jc w:val="center"/>
              <w:rPr>
                <w:rFonts w:ascii="Times New Roman" w:hAnsi="Times New Roman" w:cs="Times New Roman" w:eastAsiaTheme="majorEastAsia"/>
                <w:b/>
                <w:sz w:val="24"/>
                <w:szCs w:val="24"/>
              </w:rPr>
            </w:pPr>
          </w:p>
        </w:tc>
      </w:tr>
      <w:tr w14:paraId="7211C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2122" w:type="dxa"/>
            <w:vAlign w:val="center"/>
          </w:tcPr>
          <w:p w14:paraId="7AA27D54">
            <w:pPr>
              <w:jc w:val="center"/>
              <w:rPr>
                <w:rFonts w:ascii="Times New Roman" w:hAnsi="Times New Roman" w:cs="Times New Roman" w:eastAsiaTheme="majorEastAsia"/>
              </w:rPr>
            </w:pPr>
            <w:r>
              <w:rPr>
                <w:rFonts w:ascii="Times New Roman" w:hAnsi="Times New Roman" w:cs="Times New Roman" w:eastAsiaTheme="majorEastAsia"/>
                <w:sz w:val="24"/>
                <w:szCs w:val="24"/>
              </w:rPr>
              <w:t>国家级科创项目</w:t>
            </w:r>
          </w:p>
        </w:tc>
        <w:tc>
          <w:tcPr>
            <w:tcW w:w="1559" w:type="dxa"/>
            <w:vAlign w:val="center"/>
          </w:tcPr>
          <w:p w14:paraId="5D72B99F">
            <w:pPr>
              <w:jc w:val="center"/>
              <w:rPr>
                <w:rFonts w:ascii="Times New Roman" w:hAnsi="Times New Roman" w:cs="Times New Roman" w:eastAsiaTheme="majorEastAsia"/>
              </w:rPr>
            </w:pPr>
            <w:r>
              <w:rPr>
                <w:rFonts w:ascii="Times New Roman" w:hAnsi="Times New Roman" w:cs="Times New Roman" w:eastAsiaTheme="majorEastAsia"/>
                <w:sz w:val="24"/>
                <w:szCs w:val="24"/>
              </w:rPr>
              <w:t>15</w:t>
            </w:r>
          </w:p>
        </w:tc>
        <w:tc>
          <w:tcPr>
            <w:tcW w:w="1559" w:type="dxa"/>
            <w:vAlign w:val="center"/>
          </w:tcPr>
          <w:p w14:paraId="78D0C239">
            <w:pPr>
              <w:jc w:val="center"/>
              <w:rPr>
                <w:rFonts w:ascii="Times New Roman" w:hAnsi="Times New Roman" w:cs="Times New Roman" w:eastAsiaTheme="majorEastAsia"/>
              </w:rPr>
            </w:pPr>
            <w:r>
              <w:rPr>
                <w:rFonts w:ascii="Times New Roman" w:hAnsi="Times New Roman" w:cs="Times New Roman" w:eastAsiaTheme="majorEastAsia"/>
                <w:sz w:val="24"/>
                <w:szCs w:val="24"/>
              </w:rPr>
              <w:t>7</w:t>
            </w:r>
          </w:p>
        </w:tc>
        <w:tc>
          <w:tcPr>
            <w:tcW w:w="3690" w:type="dxa"/>
            <w:vMerge w:val="restart"/>
            <w:vAlign w:val="center"/>
          </w:tcPr>
          <w:p w14:paraId="06EEE56D">
            <w:pPr>
              <w:spacing w:line="400" w:lineRule="exact"/>
              <w:jc w:val="center"/>
              <w:rPr>
                <w:rFonts w:ascii="Times New Roman" w:hAnsi="Times New Roman" w:cs="Times New Roman" w:eastAsiaTheme="majorEastAsia"/>
                <w:sz w:val="24"/>
                <w:szCs w:val="24"/>
              </w:rPr>
            </w:pPr>
            <w:r>
              <w:rPr>
                <w:rFonts w:hint="eastAsia" w:ascii="宋体" w:hAnsi="宋体" w:eastAsia="宋体" w:cs="宋体"/>
                <w:szCs w:val="21"/>
              </w:rPr>
              <w:t>①</w:t>
            </w:r>
            <w:r>
              <w:rPr>
                <w:rFonts w:ascii="Times New Roman" w:hAnsi="Times New Roman" w:cs="Times New Roman" w:eastAsiaTheme="majorEastAsia"/>
                <w:szCs w:val="21"/>
              </w:rPr>
              <w:t>科创项目结题验收结果：优秀为2.0，良好为1.6，合格为1.0；</w:t>
            </w:r>
            <w:r>
              <w:rPr>
                <w:rFonts w:hint="eastAsia" w:ascii="宋体" w:hAnsi="宋体" w:eastAsia="宋体" w:cs="宋体"/>
                <w:szCs w:val="21"/>
              </w:rPr>
              <w:t>②</w:t>
            </w:r>
            <w:r>
              <w:rPr>
                <w:rFonts w:ascii="Times New Roman" w:hAnsi="Times New Roman" w:cs="Times New Roman" w:eastAsiaTheme="majorEastAsia"/>
                <w:szCs w:val="21"/>
              </w:rPr>
              <w:t>国家级、省级及以下项目：立项不加分，通过中期检查，国家</w:t>
            </w:r>
            <w:r>
              <w:rPr>
                <w:rFonts w:hint="eastAsia" w:ascii="Times New Roman" w:hAnsi="Times New Roman" w:cs="Times New Roman" w:eastAsiaTheme="majorEastAsia"/>
                <w:szCs w:val="21"/>
                <w:lang w:eastAsia="zh-CN"/>
              </w:rPr>
              <w:t>级为</w:t>
            </w:r>
            <w:r>
              <w:rPr>
                <w:rFonts w:ascii="Times New Roman" w:hAnsi="Times New Roman" w:cs="Times New Roman" w:eastAsiaTheme="majorEastAsia"/>
                <w:szCs w:val="21"/>
              </w:rPr>
              <w:t>1.2，省级为0.5，校级为0.3。</w:t>
            </w:r>
          </w:p>
        </w:tc>
      </w:tr>
      <w:tr w14:paraId="6D20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122" w:type="dxa"/>
            <w:vAlign w:val="center"/>
          </w:tcPr>
          <w:p w14:paraId="73BEFCD9">
            <w:pPr>
              <w:jc w:val="center"/>
              <w:rPr>
                <w:rFonts w:ascii="Times New Roman" w:hAnsi="Times New Roman" w:cs="Times New Roman" w:eastAsiaTheme="majorEastAsia"/>
              </w:rPr>
            </w:pPr>
            <w:r>
              <w:rPr>
                <w:rFonts w:ascii="Times New Roman" w:hAnsi="Times New Roman" w:cs="Times New Roman" w:eastAsiaTheme="majorEastAsia"/>
                <w:sz w:val="24"/>
                <w:szCs w:val="24"/>
              </w:rPr>
              <w:t>省</w:t>
            </w:r>
            <w:r>
              <w:rPr>
                <w:rFonts w:hint="eastAsia" w:ascii="Times New Roman" w:hAnsi="Times New Roman" w:cs="Times New Roman" w:eastAsiaTheme="majorEastAsia"/>
                <w:sz w:val="24"/>
                <w:szCs w:val="24"/>
              </w:rPr>
              <w:t>级</w:t>
            </w:r>
            <w:r>
              <w:rPr>
                <w:rFonts w:ascii="Times New Roman" w:hAnsi="Times New Roman" w:cs="Times New Roman" w:eastAsiaTheme="majorEastAsia"/>
                <w:sz w:val="24"/>
                <w:szCs w:val="24"/>
              </w:rPr>
              <w:t>科创项目</w:t>
            </w:r>
          </w:p>
        </w:tc>
        <w:tc>
          <w:tcPr>
            <w:tcW w:w="1559" w:type="dxa"/>
            <w:vAlign w:val="center"/>
          </w:tcPr>
          <w:p w14:paraId="4952C0F9">
            <w:pPr>
              <w:jc w:val="center"/>
              <w:rPr>
                <w:rFonts w:ascii="Times New Roman" w:hAnsi="Times New Roman" w:cs="Times New Roman" w:eastAsiaTheme="majorEastAsia"/>
              </w:rPr>
            </w:pPr>
            <w:r>
              <w:rPr>
                <w:rFonts w:ascii="Times New Roman" w:hAnsi="Times New Roman" w:cs="Times New Roman" w:eastAsiaTheme="majorEastAsia"/>
                <w:sz w:val="24"/>
                <w:szCs w:val="24"/>
              </w:rPr>
              <w:t>12</w:t>
            </w:r>
          </w:p>
        </w:tc>
        <w:tc>
          <w:tcPr>
            <w:tcW w:w="1559" w:type="dxa"/>
            <w:vAlign w:val="center"/>
          </w:tcPr>
          <w:p w14:paraId="2DE74605">
            <w:pPr>
              <w:jc w:val="center"/>
              <w:rPr>
                <w:rFonts w:ascii="Times New Roman" w:hAnsi="Times New Roman" w:cs="Times New Roman" w:eastAsiaTheme="majorEastAsia"/>
              </w:rPr>
            </w:pPr>
            <w:r>
              <w:rPr>
                <w:rFonts w:ascii="Times New Roman" w:hAnsi="Times New Roman" w:cs="Times New Roman" w:eastAsiaTheme="majorEastAsia"/>
                <w:sz w:val="24"/>
                <w:szCs w:val="24"/>
              </w:rPr>
              <w:t>6</w:t>
            </w:r>
          </w:p>
        </w:tc>
        <w:tc>
          <w:tcPr>
            <w:tcW w:w="3690" w:type="dxa"/>
            <w:vMerge w:val="continue"/>
            <w:vAlign w:val="center"/>
          </w:tcPr>
          <w:p w14:paraId="7E0622BB">
            <w:pPr>
              <w:jc w:val="center"/>
              <w:rPr>
                <w:rFonts w:ascii="Times New Roman" w:hAnsi="Times New Roman" w:cs="Times New Roman" w:eastAsiaTheme="majorEastAsia"/>
                <w:sz w:val="24"/>
                <w:szCs w:val="24"/>
              </w:rPr>
            </w:pPr>
          </w:p>
        </w:tc>
      </w:tr>
      <w:tr w14:paraId="300F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2" w:type="dxa"/>
            <w:vAlign w:val="center"/>
          </w:tcPr>
          <w:p w14:paraId="1EE609E3">
            <w:pPr>
              <w:jc w:val="center"/>
              <w:rPr>
                <w:rFonts w:ascii="Times New Roman" w:hAnsi="Times New Roman" w:cs="Times New Roman" w:eastAsiaTheme="majorEastAsia"/>
              </w:rPr>
            </w:pPr>
            <w:r>
              <w:rPr>
                <w:rFonts w:ascii="Times New Roman" w:hAnsi="Times New Roman" w:cs="Times New Roman" w:eastAsiaTheme="majorEastAsia"/>
                <w:sz w:val="24"/>
                <w:szCs w:val="24"/>
              </w:rPr>
              <w:t>校</w:t>
            </w:r>
            <w:r>
              <w:rPr>
                <w:rFonts w:hint="eastAsia" w:ascii="Times New Roman" w:hAnsi="Times New Roman" w:cs="Times New Roman" w:eastAsiaTheme="majorEastAsia"/>
                <w:sz w:val="24"/>
                <w:szCs w:val="24"/>
              </w:rPr>
              <w:t>级科创</w:t>
            </w:r>
            <w:r>
              <w:rPr>
                <w:rFonts w:ascii="Times New Roman" w:hAnsi="Times New Roman" w:cs="Times New Roman" w:eastAsiaTheme="majorEastAsia"/>
                <w:sz w:val="24"/>
                <w:szCs w:val="24"/>
              </w:rPr>
              <w:t>项目</w:t>
            </w:r>
          </w:p>
        </w:tc>
        <w:tc>
          <w:tcPr>
            <w:tcW w:w="1559" w:type="dxa"/>
            <w:vAlign w:val="center"/>
          </w:tcPr>
          <w:p w14:paraId="5A712FF9">
            <w:pPr>
              <w:jc w:val="center"/>
              <w:rPr>
                <w:rFonts w:ascii="Times New Roman" w:hAnsi="Times New Roman" w:cs="Times New Roman" w:eastAsiaTheme="majorEastAsia"/>
              </w:rPr>
            </w:pPr>
            <w:r>
              <w:rPr>
                <w:rFonts w:ascii="Times New Roman" w:hAnsi="Times New Roman" w:cs="Times New Roman" w:eastAsiaTheme="majorEastAsia"/>
                <w:sz w:val="24"/>
                <w:szCs w:val="24"/>
              </w:rPr>
              <w:t>10</w:t>
            </w:r>
          </w:p>
        </w:tc>
        <w:tc>
          <w:tcPr>
            <w:tcW w:w="1559" w:type="dxa"/>
            <w:vAlign w:val="center"/>
          </w:tcPr>
          <w:p w14:paraId="1DB753B9">
            <w:pPr>
              <w:jc w:val="center"/>
              <w:rPr>
                <w:rFonts w:ascii="Times New Roman" w:hAnsi="Times New Roman" w:cs="Times New Roman" w:eastAsiaTheme="majorEastAsia"/>
              </w:rPr>
            </w:pPr>
            <w:r>
              <w:rPr>
                <w:rFonts w:ascii="Times New Roman" w:hAnsi="Times New Roman" w:cs="Times New Roman" w:eastAsiaTheme="majorEastAsia"/>
                <w:sz w:val="24"/>
                <w:szCs w:val="24"/>
              </w:rPr>
              <w:t>5</w:t>
            </w:r>
          </w:p>
        </w:tc>
        <w:tc>
          <w:tcPr>
            <w:tcW w:w="3690" w:type="dxa"/>
            <w:vMerge w:val="continue"/>
            <w:vAlign w:val="center"/>
          </w:tcPr>
          <w:p w14:paraId="549CDCBB">
            <w:pPr>
              <w:jc w:val="center"/>
              <w:rPr>
                <w:rFonts w:ascii="Times New Roman" w:hAnsi="Times New Roman" w:cs="Times New Roman" w:eastAsiaTheme="majorEastAsia"/>
                <w:sz w:val="24"/>
                <w:szCs w:val="24"/>
              </w:rPr>
            </w:pPr>
          </w:p>
        </w:tc>
      </w:tr>
    </w:tbl>
    <w:p w14:paraId="2187EC5C">
      <w:pPr>
        <w:pStyle w:val="5"/>
        <w:spacing w:before="0" w:after="0"/>
        <w:ind w:firstLine="420" w:firstLineChars="200"/>
        <w:jc w:val="left"/>
        <w:outlineLvl w:val="9"/>
        <w:rPr>
          <w:rFonts w:ascii="Times New Roman" w:hAnsi="Times New Roman" w:cs="Times New Roman"/>
          <w:b w:val="0"/>
          <w:bCs w:val="0"/>
          <w:sz w:val="21"/>
          <w:szCs w:val="21"/>
        </w:rPr>
      </w:pPr>
      <w:r>
        <w:rPr>
          <w:rFonts w:ascii="Times New Roman" w:hAnsi="Times New Roman" w:cs="Times New Roman"/>
          <w:b w:val="0"/>
          <w:bCs w:val="0"/>
          <w:sz w:val="21"/>
          <w:szCs w:val="21"/>
        </w:rPr>
        <w:t>注：</w:t>
      </w:r>
      <w:r>
        <w:rPr>
          <w:rFonts w:hint="eastAsia" w:ascii="宋体" w:hAnsi="宋体" w:eastAsia="宋体" w:cs="宋体"/>
          <w:b w:val="0"/>
          <w:bCs w:val="0"/>
          <w:sz w:val="21"/>
          <w:szCs w:val="21"/>
        </w:rPr>
        <w:t>①</w:t>
      </w:r>
      <w:r>
        <w:rPr>
          <w:rFonts w:hint="eastAsia" w:ascii="Times New Roman" w:hAnsi="Times New Roman" w:cs="Times New Roman"/>
          <w:b w:val="0"/>
          <w:bCs w:val="0"/>
          <w:sz w:val="21"/>
          <w:szCs w:val="21"/>
        </w:rPr>
        <w:t>参与多个科创项目的只认定2项；</w:t>
      </w:r>
      <w:r>
        <w:rPr>
          <w:rFonts w:hint="eastAsia" w:ascii="宋体" w:hAnsi="宋体" w:eastAsia="宋体" w:cs="宋体"/>
          <w:b w:val="0"/>
          <w:bCs w:val="0"/>
          <w:sz w:val="21"/>
          <w:szCs w:val="21"/>
        </w:rPr>
        <w:t>②</w:t>
      </w:r>
      <w:r>
        <w:rPr>
          <w:rFonts w:hint="eastAsia" w:ascii="Times New Roman" w:hAnsi="Times New Roman" w:cs="Times New Roman"/>
          <w:b w:val="0"/>
          <w:bCs w:val="0"/>
          <w:sz w:val="21"/>
          <w:szCs w:val="21"/>
        </w:rPr>
        <w:t>本项目累计不超过40分。</w:t>
      </w:r>
    </w:p>
    <w:p w14:paraId="40AF7E20">
      <w:pPr>
        <w:pStyle w:val="5"/>
        <w:spacing w:before="0" w:after="0" w:line="540" w:lineRule="exact"/>
        <w:ind w:firstLine="643" w:firstLineChars="200"/>
        <w:jc w:val="both"/>
        <w:outlineLvl w:val="2"/>
        <w:rPr>
          <w:rFonts w:ascii="仿宋" w:hAnsi="仿宋" w:eastAsia="仿宋" w:cstheme="minorBidi"/>
          <w:bCs w:val="0"/>
        </w:rPr>
      </w:pPr>
      <w:r>
        <w:rPr>
          <w:rFonts w:ascii="仿宋" w:hAnsi="仿宋" w:eastAsia="仿宋" w:cstheme="minorBidi"/>
          <w:bCs w:val="0"/>
        </w:rPr>
        <w:t>5.参与社会实践情况</w:t>
      </w:r>
    </w:p>
    <w:p w14:paraId="112B4D02">
      <w:pPr>
        <w:pStyle w:val="5"/>
        <w:spacing w:before="0" w:after="0" w:line="540" w:lineRule="exact"/>
        <w:ind w:firstLine="640" w:firstLineChars="200"/>
        <w:jc w:val="both"/>
        <w:outlineLvl w:val="9"/>
        <w:rPr>
          <w:rFonts w:ascii="仿宋" w:hAnsi="仿宋" w:eastAsia="仿宋" w:cstheme="minorBidi"/>
          <w:b w:val="0"/>
          <w:bCs w:val="0"/>
        </w:rPr>
      </w:pPr>
      <w:r>
        <w:rPr>
          <w:rFonts w:ascii="仿宋" w:hAnsi="仿宋" w:eastAsia="仿宋" w:cstheme="minorBidi"/>
          <w:b w:val="0"/>
          <w:bCs w:val="0"/>
        </w:rPr>
        <w:t>参与社会实践情况以学生组织或参与相关的暑期社会实践服务队等级为标准。</w:t>
      </w:r>
    </w:p>
    <w:p w14:paraId="079505C2">
      <w:pPr>
        <w:pStyle w:val="5"/>
        <w:spacing w:before="0" w:after="0" w:line="540" w:lineRule="exact"/>
        <w:ind w:firstLine="640" w:firstLineChars="200"/>
        <w:jc w:val="both"/>
        <w:outlineLvl w:val="9"/>
        <w:rPr>
          <w:rFonts w:ascii="仿宋" w:hAnsi="仿宋" w:eastAsia="仿宋" w:cstheme="minorBidi"/>
          <w:b w:val="0"/>
          <w:bCs w:val="0"/>
        </w:rPr>
      </w:pPr>
      <w:r>
        <w:rPr>
          <w:rFonts w:ascii="仿宋" w:hAnsi="仿宋" w:eastAsia="仿宋" w:cstheme="minorBidi"/>
          <w:b w:val="0"/>
          <w:bCs w:val="0"/>
        </w:rPr>
        <w:t>（1）</w:t>
      </w:r>
      <w:r>
        <w:rPr>
          <w:rFonts w:hint="eastAsia" w:ascii="仿宋" w:hAnsi="仿宋" w:eastAsia="仿宋" w:cstheme="minorBidi"/>
          <w:b w:val="0"/>
          <w:bCs w:val="0"/>
          <w:lang w:eastAsia="zh-CN"/>
        </w:rPr>
        <w:t>截止</w:t>
      </w:r>
      <w:r>
        <w:rPr>
          <w:rFonts w:ascii="仿宋" w:hAnsi="仿宋" w:eastAsia="仿宋" w:cstheme="minorBidi"/>
          <w:b w:val="0"/>
          <w:bCs w:val="0"/>
        </w:rPr>
        <w:t>本年度9月7</w:t>
      </w:r>
      <w:r>
        <w:rPr>
          <w:rFonts w:hint="eastAsia" w:ascii="仿宋" w:hAnsi="仿宋" w:eastAsia="仿宋" w:cstheme="minorBidi"/>
          <w:b w:val="0"/>
          <w:bCs w:val="0"/>
          <w:lang w:eastAsia="zh-CN"/>
        </w:rPr>
        <w:t>日</w:t>
      </w:r>
      <w:r>
        <w:rPr>
          <w:rFonts w:ascii="仿宋" w:hAnsi="仿宋" w:eastAsia="仿宋" w:cstheme="minorBidi"/>
          <w:b w:val="0"/>
          <w:bCs w:val="0"/>
        </w:rPr>
        <w:t>，参与学校统一组织的暑期社会实践服务队者，按照以下分值标准加分。</w:t>
      </w:r>
    </w:p>
    <w:tbl>
      <w:tblPr>
        <w:tblStyle w:val="6"/>
        <w:tblW w:w="9330" w:type="dxa"/>
        <w:tblInd w:w="0" w:type="dxa"/>
        <w:tblLayout w:type="fixed"/>
        <w:tblCellMar>
          <w:top w:w="0" w:type="dxa"/>
          <w:left w:w="108" w:type="dxa"/>
          <w:bottom w:w="0" w:type="dxa"/>
          <w:right w:w="108" w:type="dxa"/>
        </w:tblCellMar>
      </w:tblPr>
      <w:tblGrid>
        <w:gridCol w:w="3849"/>
        <w:gridCol w:w="2556"/>
        <w:gridCol w:w="2925"/>
      </w:tblGrid>
      <w:tr w14:paraId="037AC2D1">
        <w:tblPrEx>
          <w:tblCellMar>
            <w:top w:w="0" w:type="dxa"/>
            <w:left w:w="108" w:type="dxa"/>
            <w:bottom w:w="0" w:type="dxa"/>
            <w:right w:w="108" w:type="dxa"/>
          </w:tblCellMar>
        </w:tblPrEx>
        <w:trPr>
          <w:trHeight w:val="397" w:hRule="atLeast"/>
        </w:trPr>
        <w:tc>
          <w:tcPr>
            <w:tcW w:w="3849" w:type="dxa"/>
            <w:vMerge w:val="restart"/>
            <w:tcBorders>
              <w:top w:val="single" w:color="000000" w:sz="8" w:space="0"/>
              <w:left w:val="single" w:color="000000" w:sz="8" w:space="0"/>
              <w:bottom w:val="single" w:color="000000" w:sz="8" w:space="0"/>
              <w:right w:val="single" w:color="000000" w:sz="8" w:space="0"/>
            </w:tcBorders>
            <w:vAlign w:val="center"/>
          </w:tcPr>
          <w:p w14:paraId="54AD7B91">
            <w:pPr>
              <w:jc w:val="center"/>
              <w:rPr>
                <w:rFonts w:ascii="Times New Roman" w:hAnsi="Times New Roman" w:cs="Times New Roman" w:eastAsiaTheme="majorEastAsia"/>
                <w:b/>
              </w:rPr>
            </w:pPr>
            <w:r>
              <w:rPr>
                <w:rFonts w:ascii="Times New Roman" w:hAnsi="Times New Roman" w:cs="Times New Roman" w:eastAsiaTheme="majorEastAsia"/>
                <w:b/>
                <w:sz w:val="24"/>
                <w:szCs w:val="24"/>
              </w:rPr>
              <w:t>队伍等级</w:t>
            </w:r>
          </w:p>
        </w:tc>
        <w:tc>
          <w:tcPr>
            <w:tcW w:w="5481" w:type="dxa"/>
            <w:gridSpan w:val="2"/>
            <w:tcBorders>
              <w:top w:val="single" w:color="000000" w:sz="8" w:space="0"/>
              <w:left w:val="single" w:color="000000" w:sz="8" w:space="0"/>
              <w:bottom w:val="single" w:color="000000" w:sz="8" w:space="0"/>
              <w:right w:val="single" w:color="000000" w:sz="8" w:space="0"/>
            </w:tcBorders>
            <w:vAlign w:val="center"/>
          </w:tcPr>
          <w:p w14:paraId="739286D6">
            <w:pPr>
              <w:jc w:val="center"/>
              <w:rPr>
                <w:rFonts w:ascii="Times New Roman" w:hAnsi="Times New Roman" w:cs="Times New Roman" w:eastAsiaTheme="majorEastAsia"/>
                <w:b/>
              </w:rPr>
            </w:pPr>
            <w:r>
              <w:rPr>
                <w:rFonts w:ascii="Times New Roman" w:hAnsi="Times New Roman" w:cs="Times New Roman" w:eastAsiaTheme="majorEastAsia"/>
                <w:b/>
                <w:sz w:val="24"/>
                <w:szCs w:val="24"/>
              </w:rPr>
              <w:t>分值标准</w:t>
            </w:r>
          </w:p>
        </w:tc>
      </w:tr>
      <w:tr w14:paraId="4C1F389E">
        <w:tblPrEx>
          <w:tblCellMar>
            <w:top w:w="0" w:type="dxa"/>
            <w:left w:w="108" w:type="dxa"/>
            <w:bottom w:w="0" w:type="dxa"/>
            <w:right w:w="108" w:type="dxa"/>
          </w:tblCellMar>
        </w:tblPrEx>
        <w:trPr>
          <w:trHeight w:val="397" w:hRule="atLeast"/>
        </w:trPr>
        <w:tc>
          <w:tcPr>
            <w:tcW w:w="3849" w:type="dxa"/>
            <w:vMerge w:val="continue"/>
            <w:tcBorders>
              <w:top w:val="single" w:color="000000" w:sz="8" w:space="0"/>
              <w:left w:val="single" w:color="000000" w:sz="8" w:space="0"/>
              <w:bottom w:val="single" w:color="000000" w:sz="8" w:space="0"/>
              <w:right w:val="single" w:color="000000" w:sz="8" w:space="0"/>
            </w:tcBorders>
            <w:vAlign w:val="center"/>
          </w:tcPr>
          <w:p w14:paraId="6C7FFCF5">
            <w:pPr>
              <w:jc w:val="center"/>
              <w:rPr>
                <w:rFonts w:ascii="Times New Roman" w:hAnsi="Times New Roman" w:cs="Times New Roman" w:eastAsiaTheme="majorEastAsia"/>
                <w:b/>
              </w:rPr>
            </w:pPr>
          </w:p>
        </w:tc>
        <w:tc>
          <w:tcPr>
            <w:tcW w:w="2556" w:type="dxa"/>
            <w:tcBorders>
              <w:top w:val="single" w:color="000000" w:sz="8" w:space="0"/>
              <w:left w:val="single" w:color="000000" w:sz="8" w:space="0"/>
              <w:bottom w:val="single" w:color="000000" w:sz="8" w:space="0"/>
              <w:right w:val="single" w:color="000000" w:sz="8" w:space="0"/>
            </w:tcBorders>
            <w:vAlign w:val="center"/>
          </w:tcPr>
          <w:p w14:paraId="0AC66B40">
            <w:pPr>
              <w:jc w:val="center"/>
              <w:rPr>
                <w:rFonts w:ascii="Times New Roman" w:hAnsi="Times New Roman" w:cs="Times New Roman" w:eastAsiaTheme="majorEastAsia"/>
                <w:b/>
              </w:rPr>
            </w:pPr>
            <w:r>
              <w:rPr>
                <w:rFonts w:ascii="Times New Roman" w:hAnsi="Times New Roman" w:cs="Times New Roman" w:eastAsiaTheme="majorEastAsia"/>
                <w:b/>
                <w:sz w:val="24"/>
                <w:szCs w:val="24"/>
              </w:rPr>
              <w:t>队长</w:t>
            </w:r>
          </w:p>
        </w:tc>
        <w:tc>
          <w:tcPr>
            <w:tcW w:w="2925" w:type="dxa"/>
            <w:tcBorders>
              <w:top w:val="single" w:color="000000" w:sz="8" w:space="0"/>
              <w:left w:val="single" w:color="000000" w:sz="8" w:space="0"/>
              <w:bottom w:val="single" w:color="000000" w:sz="8" w:space="0"/>
              <w:right w:val="single" w:color="000000" w:sz="8" w:space="0"/>
            </w:tcBorders>
            <w:vAlign w:val="center"/>
          </w:tcPr>
          <w:p w14:paraId="4A4CBCBE">
            <w:pPr>
              <w:jc w:val="center"/>
              <w:rPr>
                <w:rFonts w:ascii="Times New Roman" w:hAnsi="Times New Roman" w:cs="Times New Roman" w:eastAsiaTheme="majorEastAsia"/>
                <w:b/>
              </w:rPr>
            </w:pPr>
            <w:r>
              <w:rPr>
                <w:rFonts w:ascii="Times New Roman" w:hAnsi="Times New Roman" w:cs="Times New Roman" w:eastAsiaTheme="majorEastAsia"/>
                <w:b/>
                <w:sz w:val="24"/>
                <w:szCs w:val="24"/>
              </w:rPr>
              <w:t>队员</w:t>
            </w:r>
          </w:p>
        </w:tc>
      </w:tr>
      <w:tr w14:paraId="0BEA2494">
        <w:tblPrEx>
          <w:tblCellMar>
            <w:top w:w="0" w:type="dxa"/>
            <w:left w:w="108" w:type="dxa"/>
            <w:bottom w:w="0" w:type="dxa"/>
            <w:right w:w="108" w:type="dxa"/>
          </w:tblCellMar>
        </w:tblPrEx>
        <w:trPr>
          <w:trHeight w:val="397" w:hRule="atLeast"/>
        </w:trPr>
        <w:tc>
          <w:tcPr>
            <w:tcW w:w="3849" w:type="dxa"/>
            <w:tcBorders>
              <w:top w:val="single" w:color="000000" w:sz="8" w:space="0"/>
              <w:left w:val="single" w:color="000000" w:sz="8" w:space="0"/>
              <w:bottom w:val="single" w:color="000000" w:sz="8" w:space="0"/>
              <w:right w:val="single" w:color="000000" w:sz="8" w:space="0"/>
            </w:tcBorders>
            <w:vAlign w:val="center"/>
          </w:tcPr>
          <w:p w14:paraId="3F50607A">
            <w:pPr>
              <w:jc w:val="center"/>
              <w:rPr>
                <w:rFonts w:ascii="Times New Roman" w:hAnsi="Times New Roman" w:cs="Times New Roman" w:eastAsiaTheme="majorEastAsia"/>
                <w:bCs/>
              </w:rPr>
            </w:pPr>
            <w:r>
              <w:rPr>
                <w:rFonts w:ascii="Times New Roman" w:hAnsi="Times New Roman" w:cs="Times New Roman" w:eastAsiaTheme="majorEastAsia"/>
                <w:bCs/>
                <w:sz w:val="24"/>
                <w:szCs w:val="24"/>
              </w:rPr>
              <w:t>校级教师专项/校级重点扶持队伍</w:t>
            </w:r>
          </w:p>
        </w:tc>
        <w:tc>
          <w:tcPr>
            <w:tcW w:w="2556" w:type="dxa"/>
            <w:tcBorders>
              <w:top w:val="single" w:color="000000" w:sz="8" w:space="0"/>
              <w:left w:val="single" w:color="000000" w:sz="8" w:space="0"/>
              <w:bottom w:val="single" w:color="000000" w:sz="8" w:space="0"/>
              <w:right w:val="single" w:color="000000" w:sz="8" w:space="0"/>
            </w:tcBorders>
            <w:vAlign w:val="center"/>
          </w:tcPr>
          <w:p w14:paraId="1D70FC52">
            <w:pPr>
              <w:jc w:val="center"/>
              <w:rPr>
                <w:rFonts w:ascii="Times New Roman" w:hAnsi="Times New Roman" w:cs="Times New Roman" w:eastAsiaTheme="majorEastAsia"/>
                <w:bCs/>
              </w:rPr>
            </w:pPr>
            <w:r>
              <w:rPr>
                <w:rFonts w:ascii="Times New Roman" w:hAnsi="Times New Roman" w:cs="Times New Roman" w:eastAsiaTheme="majorEastAsia"/>
                <w:bCs/>
                <w:sz w:val="24"/>
                <w:szCs w:val="24"/>
              </w:rPr>
              <w:t>4</w:t>
            </w:r>
          </w:p>
        </w:tc>
        <w:tc>
          <w:tcPr>
            <w:tcW w:w="2925" w:type="dxa"/>
            <w:tcBorders>
              <w:top w:val="single" w:color="000000" w:sz="8" w:space="0"/>
              <w:left w:val="single" w:color="000000" w:sz="8" w:space="0"/>
              <w:bottom w:val="single" w:color="000000" w:sz="8" w:space="0"/>
              <w:right w:val="single" w:color="000000" w:sz="8" w:space="0"/>
            </w:tcBorders>
            <w:vAlign w:val="center"/>
          </w:tcPr>
          <w:p w14:paraId="00B1CC87">
            <w:pPr>
              <w:jc w:val="center"/>
              <w:rPr>
                <w:rFonts w:ascii="Times New Roman" w:hAnsi="Times New Roman" w:cs="Times New Roman" w:eastAsiaTheme="majorEastAsia"/>
                <w:bCs/>
              </w:rPr>
            </w:pPr>
            <w:r>
              <w:rPr>
                <w:rFonts w:ascii="Times New Roman" w:hAnsi="Times New Roman" w:cs="Times New Roman" w:eastAsiaTheme="majorEastAsia"/>
                <w:bCs/>
                <w:sz w:val="24"/>
                <w:szCs w:val="24"/>
              </w:rPr>
              <w:t>3</w:t>
            </w:r>
          </w:p>
        </w:tc>
      </w:tr>
      <w:tr w14:paraId="01CF3E24">
        <w:tblPrEx>
          <w:tblCellMar>
            <w:top w:w="0" w:type="dxa"/>
            <w:left w:w="108" w:type="dxa"/>
            <w:bottom w:w="0" w:type="dxa"/>
            <w:right w:w="108" w:type="dxa"/>
          </w:tblCellMar>
        </w:tblPrEx>
        <w:trPr>
          <w:trHeight w:val="397" w:hRule="atLeast"/>
        </w:trPr>
        <w:tc>
          <w:tcPr>
            <w:tcW w:w="3849" w:type="dxa"/>
            <w:tcBorders>
              <w:top w:val="single" w:color="000000" w:sz="8" w:space="0"/>
              <w:left w:val="single" w:color="000000" w:sz="8" w:space="0"/>
              <w:bottom w:val="single" w:color="000000" w:sz="8" w:space="0"/>
              <w:right w:val="single" w:color="000000" w:sz="8" w:space="0"/>
            </w:tcBorders>
            <w:vAlign w:val="center"/>
          </w:tcPr>
          <w:p w14:paraId="6DE528F3">
            <w:pPr>
              <w:jc w:val="center"/>
              <w:rPr>
                <w:rFonts w:ascii="Times New Roman" w:hAnsi="Times New Roman" w:cs="Times New Roman" w:eastAsiaTheme="majorEastAsia"/>
                <w:bCs/>
              </w:rPr>
            </w:pPr>
            <w:r>
              <w:rPr>
                <w:rFonts w:ascii="Times New Roman" w:hAnsi="Times New Roman" w:cs="Times New Roman" w:eastAsiaTheme="majorEastAsia"/>
                <w:bCs/>
                <w:sz w:val="24"/>
                <w:szCs w:val="24"/>
              </w:rPr>
              <w:t>校级一般扶持队伍</w:t>
            </w:r>
          </w:p>
        </w:tc>
        <w:tc>
          <w:tcPr>
            <w:tcW w:w="2556" w:type="dxa"/>
            <w:tcBorders>
              <w:top w:val="single" w:color="000000" w:sz="8" w:space="0"/>
              <w:left w:val="single" w:color="000000" w:sz="8" w:space="0"/>
              <w:bottom w:val="single" w:color="000000" w:sz="8" w:space="0"/>
              <w:right w:val="single" w:color="000000" w:sz="8" w:space="0"/>
            </w:tcBorders>
            <w:vAlign w:val="center"/>
          </w:tcPr>
          <w:p w14:paraId="6D245FC6">
            <w:pPr>
              <w:jc w:val="center"/>
              <w:rPr>
                <w:rFonts w:ascii="Times New Roman" w:hAnsi="Times New Roman" w:cs="Times New Roman" w:eastAsiaTheme="majorEastAsia"/>
                <w:bCs/>
              </w:rPr>
            </w:pPr>
            <w:r>
              <w:rPr>
                <w:rFonts w:ascii="Times New Roman" w:hAnsi="Times New Roman" w:cs="Times New Roman" w:eastAsiaTheme="majorEastAsia"/>
                <w:bCs/>
                <w:sz w:val="24"/>
                <w:szCs w:val="24"/>
              </w:rPr>
              <w:t>3</w:t>
            </w:r>
          </w:p>
        </w:tc>
        <w:tc>
          <w:tcPr>
            <w:tcW w:w="2925" w:type="dxa"/>
            <w:tcBorders>
              <w:top w:val="single" w:color="000000" w:sz="8" w:space="0"/>
              <w:left w:val="single" w:color="000000" w:sz="8" w:space="0"/>
              <w:bottom w:val="single" w:color="000000" w:sz="8" w:space="0"/>
              <w:right w:val="single" w:color="000000" w:sz="8" w:space="0"/>
            </w:tcBorders>
            <w:vAlign w:val="center"/>
          </w:tcPr>
          <w:p w14:paraId="422120C9">
            <w:pPr>
              <w:jc w:val="center"/>
              <w:rPr>
                <w:rFonts w:ascii="Times New Roman" w:hAnsi="Times New Roman" w:cs="Times New Roman" w:eastAsiaTheme="majorEastAsia"/>
                <w:bCs/>
              </w:rPr>
            </w:pPr>
            <w:r>
              <w:rPr>
                <w:rFonts w:ascii="Times New Roman" w:hAnsi="Times New Roman" w:cs="Times New Roman" w:eastAsiaTheme="majorEastAsia"/>
                <w:bCs/>
                <w:sz w:val="24"/>
                <w:szCs w:val="24"/>
              </w:rPr>
              <w:t>2</w:t>
            </w:r>
          </w:p>
        </w:tc>
      </w:tr>
      <w:tr w14:paraId="17EAC254">
        <w:tblPrEx>
          <w:tblCellMar>
            <w:top w:w="0" w:type="dxa"/>
            <w:left w:w="108" w:type="dxa"/>
            <w:bottom w:w="0" w:type="dxa"/>
            <w:right w:w="108" w:type="dxa"/>
          </w:tblCellMar>
        </w:tblPrEx>
        <w:trPr>
          <w:trHeight w:val="397" w:hRule="atLeast"/>
        </w:trPr>
        <w:tc>
          <w:tcPr>
            <w:tcW w:w="3849" w:type="dxa"/>
            <w:tcBorders>
              <w:top w:val="single" w:color="000000" w:sz="8" w:space="0"/>
              <w:left w:val="single" w:color="000000" w:sz="8" w:space="0"/>
              <w:bottom w:val="single" w:color="000000" w:sz="8" w:space="0"/>
              <w:right w:val="single" w:color="000000" w:sz="8" w:space="0"/>
            </w:tcBorders>
            <w:vAlign w:val="center"/>
          </w:tcPr>
          <w:p w14:paraId="3A518145">
            <w:pPr>
              <w:jc w:val="center"/>
              <w:rPr>
                <w:rFonts w:ascii="Times New Roman" w:hAnsi="Times New Roman" w:cs="Times New Roman" w:eastAsiaTheme="majorEastAsia"/>
                <w:bCs/>
              </w:rPr>
            </w:pPr>
            <w:r>
              <w:rPr>
                <w:rFonts w:ascii="Times New Roman" w:hAnsi="Times New Roman" w:cs="Times New Roman" w:eastAsiaTheme="majorEastAsia"/>
                <w:bCs/>
                <w:sz w:val="24"/>
                <w:szCs w:val="24"/>
              </w:rPr>
              <w:t>普通队伍/院级重点/院级一般</w:t>
            </w:r>
          </w:p>
        </w:tc>
        <w:tc>
          <w:tcPr>
            <w:tcW w:w="2556" w:type="dxa"/>
            <w:tcBorders>
              <w:top w:val="single" w:color="000000" w:sz="8" w:space="0"/>
              <w:left w:val="single" w:color="000000" w:sz="8" w:space="0"/>
              <w:bottom w:val="single" w:color="000000" w:sz="8" w:space="0"/>
              <w:right w:val="single" w:color="000000" w:sz="8" w:space="0"/>
            </w:tcBorders>
            <w:vAlign w:val="center"/>
          </w:tcPr>
          <w:p w14:paraId="039707B0">
            <w:pPr>
              <w:jc w:val="center"/>
              <w:rPr>
                <w:rFonts w:ascii="Times New Roman" w:hAnsi="Times New Roman" w:cs="Times New Roman" w:eastAsiaTheme="majorEastAsia"/>
                <w:bCs/>
              </w:rPr>
            </w:pPr>
            <w:r>
              <w:rPr>
                <w:rFonts w:ascii="Times New Roman" w:hAnsi="Times New Roman" w:cs="Times New Roman" w:eastAsiaTheme="majorEastAsia"/>
                <w:bCs/>
                <w:sz w:val="24"/>
                <w:szCs w:val="24"/>
              </w:rPr>
              <w:t>2</w:t>
            </w:r>
          </w:p>
        </w:tc>
        <w:tc>
          <w:tcPr>
            <w:tcW w:w="2925" w:type="dxa"/>
            <w:tcBorders>
              <w:top w:val="single" w:color="000000" w:sz="8" w:space="0"/>
              <w:left w:val="single" w:color="000000" w:sz="8" w:space="0"/>
              <w:bottom w:val="single" w:color="000000" w:sz="8" w:space="0"/>
              <w:right w:val="single" w:color="000000" w:sz="8" w:space="0"/>
            </w:tcBorders>
            <w:vAlign w:val="center"/>
          </w:tcPr>
          <w:p w14:paraId="571895EB">
            <w:pPr>
              <w:jc w:val="center"/>
              <w:rPr>
                <w:rFonts w:ascii="Times New Roman" w:hAnsi="Times New Roman" w:cs="Times New Roman" w:eastAsiaTheme="majorEastAsia"/>
                <w:bCs/>
              </w:rPr>
            </w:pPr>
            <w:r>
              <w:rPr>
                <w:rFonts w:ascii="Times New Roman" w:hAnsi="Times New Roman" w:cs="Times New Roman" w:eastAsiaTheme="majorEastAsia"/>
                <w:bCs/>
                <w:sz w:val="24"/>
                <w:szCs w:val="24"/>
              </w:rPr>
              <w:t>1</w:t>
            </w:r>
          </w:p>
        </w:tc>
      </w:tr>
    </w:tbl>
    <w:p w14:paraId="567347AE">
      <w:pPr>
        <w:pStyle w:val="5"/>
        <w:spacing w:before="0" w:after="0" w:line="240" w:lineRule="exact"/>
        <w:ind w:firstLine="420" w:firstLineChars="200"/>
        <w:jc w:val="left"/>
        <w:outlineLvl w:val="9"/>
        <w:rPr>
          <w:rFonts w:ascii="Times New Roman" w:hAnsi="Times New Roman" w:cs="Times New Roman"/>
          <w:b w:val="0"/>
          <w:bCs w:val="0"/>
          <w:sz w:val="21"/>
          <w:szCs w:val="21"/>
        </w:rPr>
      </w:pPr>
      <w:r>
        <w:rPr>
          <w:rFonts w:ascii="Times New Roman" w:hAnsi="Times New Roman" w:cs="Times New Roman"/>
          <w:b w:val="0"/>
          <w:bCs w:val="0"/>
          <w:sz w:val="21"/>
          <w:szCs w:val="21"/>
        </w:rPr>
        <w:t>注：</w:t>
      </w:r>
      <w:r>
        <w:rPr>
          <w:rFonts w:hint="eastAsia" w:ascii="Times New Roman" w:hAnsi="Times New Roman" w:cs="Times New Roman"/>
          <w:b w:val="0"/>
          <w:bCs w:val="0"/>
          <w:sz w:val="21"/>
          <w:szCs w:val="21"/>
        </w:rPr>
        <w:t>未区分校重点和校一般的队伍，均以校一般认定。</w:t>
      </w:r>
    </w:p>
    <w:p w14:paraId="1E582797">
      <w:pPr>
        <w:pStyle w:val="5"/>
        <w:spacing w:before="0" w:after="0" w:line="540" w:lineRule="exact"/>
        <w:ind w:firstLine="640" w:firstLineChars="200"/>
        <w:jc w:val="both"/>
        <w:outlineLvl w:val="9"/>
        <w:rPr>
          <w:rFonts w:ascii="仿宋" w:hAnsi="仿宋" w:eastAsia="仿宋" w:cstheme="minorBidi"/>
          <w:b w:val="0"/>
          <w:bCs w:val="0"/>
        </w:rPr>
      </w:pPr>
      <w:r>
        <w:rPr>
          <w:rFonts w:ascii="仿宋" w:hAnsi="仿宋" w:eastAsia="仿宋" w:cstheme="minorBidi"/>
          <w:b w:val="0"/>
          <w:bCs w:val="0"/>
        </w:rPr>
        <w:t>（2）参与学校统一组织的暑期社会实践服务队并获奖者，按照以下分值标准加分。</w:t>
      </w:r>
    </w:p>
    <w:tbl>
      <w:tblPr>
        <w:tblStyle w:val="6"/>
        <w:tblW w:w="9180" w:type="dxa"/>
        <w:tblInd w:w="0" w:type="dxa"/>
        <w:tblLayout w:type="fixed"/>
        <w:tblCellMar>
          <w:top w:w="0" w:type="dxa"/>
          <w:left w:w="108" w:type="dxa"/>
          <w:bottom w:w="0" w:type="dxa"/>
          <w:right w:w="108" w:type="dxa"/>
        </w:tblCellMar>
      </w:tblPr>
      <w:tblGrid>
        <w:gridCol w:w="4980"/>
        <w:gridCol w:w="4200"/>
      </w:tblGrid>
      <w:tr w14:paraId="45E8A6AA">
        <w:tblPrEx>
          <w:tblCellMar>
            <w:top w:w="0" w:type="dxa"/>
            <w:left w:w="108" w:type="dxa"/>
            <w:bottom w:w="0" w:type="dxa"/>
            <w:right w:w="108" w:type="dxa"/>
          </w:tblCellMar>
        </w:tblPrEx>
        <w:trPr>
          <w:trHeight w:val="397" w:hRule="atLeast"/>
        </w:trPr>
        <w:tc>
          <w:tcPr>
            <w:tcW w:w="4980" w:type="dxa"/>
            <w:tcBorders>
              <w:top w:val="single" w:color="000000" w:sz="8" w:space="0"/>
              <w:left w:val="single" w:color="000000" w:sz="8" w:space="0"/>
              <w:bottom w:val="single" w:color="000000" w:sz="8" w:space="0"/>
              <w:right w:val="single" w:color="000000" w:sz="8" w:space="0"/>
            </w:tcBorders>
            <w:vAlign w:val="center"/>
          </w:tcPr>
          <w:p w14:paraId="0BC9C7ED">
            <w:pPr>
              <w:jc w:val="center"/>
              <w:rPr>
                <w:rFonts w:ascii="Times New Roman" w:hAnsi="Times New Roman" w:cs="Times New Roman" w:eastAsiaTheme="majorEastAsia"/>
              </w:rPr>
            </w:pPr>
            <w:r>
              <w:rPr>
                <w:rFonts w:ascii="Times New Roman" w:hAnsi="Times New Roman" w:cs="Times New Roman" w:eastAsiaTheme="majorEastAsia"/>
                <w:b/>
                <w:sz w:val="24"/>
                <w:szCs w:val="24"/>
              </w:rPr>
              <w:t>服务队获奖结果</w:t>
            </w:r>
          </w:p>
        </w:tc>
        <w:tc>
          <w:tcPr>
            <w:tcW w:w="4200" w:type="dxa"/>
            <w:tcBorders>
              <w:top w:val="single" w:color="000000" w:sz="8" w:space="0"/>
              <w:left w:val="single" w:color="000000" w:sz="8" w:space="0"/>
              <w:bottom w:val="single" w:color="000000" w:sz="8" w:space="0"/>
              <w:right w:val="single" w:color="000000" w:sz="8" w:space="0"/>
            </w:tcBorders>
            <w:vAlign w:val="center"/>
          </w:tcPr>
          <w:p w14:paraId="0BA97632">
            <w:pPr>
              <w:jc w:val="center"/>
              <w:rPr>
                <w:rFonts w:ascii="Times New Roman" w:hAnsi="Times New Roman" w:cs="Times New Roman" w:eastAsiaTheme="majorEastAsia"/>
              </w:rPr>
            </w:pPr>
            <w:r>
              <w:rPr>
                <w:rFonts w:ascii="Times New Roman" w:hAnsi="Times New Roman" w:cs="Times New Roman" w:eastAsiaTheme="majorEastAsia"/>
                <w:b/>
                <w:sz w:val="24"/>
                <w:szCs w:val="24"/>
              </w:rPr>
              <w:t>分值标准</w:t>
            </w:r>
          </w:p>
        </w:tc>
      </w:tr>
      <w:tr w14:paraId="0150E237">
        <w:tblPrEx>
          <w:tblCellMar>
            <w:top w:w="0" w:type="dxa"/>
            <w:left w:w="108" w:type="dxa"/>
            <w:bottom w:w="0" w:type="dxa"/>
            <w:right w:w="108" w:type="dxa"/>
          </w:tblCellMar>
        </w:tblPrEx>
        <w:trPr>
          <w:trHeight w:val="397" w:hRule="atLeast"/>
        </w:trPr>
        <w:tc>
          <w:tcPr>
            <w:tcW w:w="4980" w:type="dxa"/>
            <w:tcBorders>
              <w:top w:val="single" w:color="000000" w:sz="8" w:space="0"/>
              <w:left w:val="single" w:color="000000" w:sz="8" w:space="0"/>
              <w:bottom w:val="single" w:color="000000" w:sz="8" w:space="0"/>
              <w:right w:val="single" w:color="000000" w:sz="8" w:space="0"/>
            </w:tcBorders>
            <w:vAlign w:val="center"/>
          </w:tcPr>
          <w:p w14:paraId="5BB98BE1">
            <w:pPr>
              <w:jc w:val="center"/>
              <w:rPr>
                <w:rFonts w:ascii="Times New Roman" w:hAnsi="Times New Roman" w:cs="Times New Roman" w:eastAsiaTheme="majorEastAsia"/>
                <w:bCs/>
              </w:rPr>
            </w:pPr>
            <w:r>
              <w:rPr>
                <w:rFonts w:ascii="Times New Roman" w:hAnsi="Times New Roman" w:cs="Times New Roman" w:eastAsiaTheme="majorEastAsia"/>
                <w:bCs/>
                <w:sz w:val="24"/>
                <w:szCs w:val="24"/>
              </w:rPr>
              <w:t>国家级</w:t>
            </w:r>
          </w:p>
        </w:tc>
        <w:tc>
          <w:tcPr>
            <w:tcW w:w="4200" w:type="dxa"/>
            <w:tcBorders>
              <w:top w:val="single" w:color="000000" w:sz="8" w:space="0"/>
              <w:left w:val="single" w:color="000000" w:sz="8" w:space="0"/>
              <w:bottom w:val="single" w:color="000000" w:sz="8" w:space="0"/>
              <w:right w:val="single" w:color="000000" w:sz="8" w:space="0"/>
            </w:tcBorders>
            <w:vAlign w:val="center"/>
          </w:tcPr>
          <w:p w14:paraId="3363CA29">
            <w:pPr>
              <w:jc w:val="center"/>
              <w:rPr>
                <w:rFonts w:ascii="Times New Roman" w:hAnsi="Times New Roman" w:cs="Times New Roman" w:eastAsiaTheme="majorEastAsia"/>
                <w:bCs/>
              </w:rPr>
            </w:pPr>
            <w:r>
              <w:rPr>
                <w:rFonts w:ascii="Times New Roman" w:hAnsi="Times New Roman" w:cs="Times New Roman" w:eastAsiaTheme="majorEastAsia"/>
                <w:bCs/>
                <w:sz w:val="24"/>
                <w:szCs w:val="24"/>
              </w:rPr>
              <w:t>8</w:t>
            </w:r>
          </w:p>
        </w:tc>
      </w:tr>
      <w:tr w14:paraId="692BDDDE">
        <w:tblPrEx>
          <w:tblCellMar>
            <w:top w:w="0" w:type="dxa"/>
            <w:left w:w="108" w:type="dxa"/>
            <w:bottom w:w="0" w:type="dxa"/>
            <w:right w:w="108" w:type="dxa"/>
          </w:tblCellMar>
        </w:tblPrEx>
        <w:trPr>
          <w:trHeight w:val="397" w:hRule="atLeast"/>
        </w:trPr>
        <w:tc>
          <w:tcPr>
            <w:tcW w:w="4980" w:type="dxa"/>
            <w:tcBorders>
              <w:top w:val="single" w:color="000000" w:sz="8" w:space="0"/>
              <w:left w:val="single" w:color="000000" w:sz="8" w:space="0"/>
              <w:bottom w:val="single" w:color="000000" w:sz="8" w:space="0"/>
              <w:right w:val="single" w:color="000000" w:sz="8" w:space="0"/>
            </w:tcBorders>
            <w:vAlign w:val="center"/>
          </w:tcPr>
          <w:p w14:paraId="021E3A63">
            <w:pPr>
              <w:jc w:val="center"/>
              <w:rPr>
                <w:rFonts w:ascii="Times New Roman" w:hAnsi="Times New Roman" w:cs="Times New Roman" w:eastAsiaTheme="majorEastAsia"/>
                <w:bCs/>
              </w:rPr>
            </w:pPr>
            <w:r>
              <w:rPr>
                <w:rFonts w:ascii="Times New Roman" w:hAnsi="Times New Roman" w:cs="Times New Roman" w:eastAsiaTheme="majorEastAsia"/>
                <w:bCs/>
                <w:sz w:val="24"/>
                <w:szCs w:val="24"/>
              </w:rPr>
              <w:t>省级</w:t>
            </w:r>
          </w:p>
        </w:tc>
        <w:tc>
          <w:tcPr>
            <w:tcW w:w="4200" w:type="dxa"/>
            <w:tcBorders>
              <w:top w:val="single" w:color="000000" w:sz="8" w:space="0"/>
              <w:left w:val="single" w:color="000000" w:sz="8" w:space="0"/>
              <w:bottom w:val="single" w:color="000000" w:sz="8" w:space="0"/>
              <w:right w:val="single" w:color="000000" w:sz="8" w:space="0"/>
            </w:tcBorders>
            <w:vAlign w:val="center"/>
          </w:tcPr>
          <w:p w14:paraId="6491A351">
            <w:pPr>
              <w:jc w:val="center"/>
              <w:rPr>
                <w:rFonts w:ascii="Times New Roman" w:hAnsi="Times New Roman" w:cs="Times New Roman" w:eastAsiaTheme="majorEastAsia"/>
                <w:bCs/>
              </w:rPr>
            </w:pPr>
            <w:r>
              <w:rPr>
                <w:rFonts w:ascii="Times New Roman" w:hAnsi="Times New Roman" w:cs="Times New Roman" w:eastAsiaTheme="majorEastAsia"/>
                <w:bCs/>
                <w:sz w:val="24"/>
                <w:szCs w:val="24"/>
              </w:rPr>
              <w:t>4</w:t>
            </w:r>
          </w:p>
        </w:tc>
      </w:tr>
      <w:tr w14:paraId="365D24F6">
        <w:tblPrEx>
          <w:tblCellMar>
            <w:top w:w="0" w:type="dxa"/>
            <w:left w:w="108" w:type="dxa"/>
            <w:bottom w:w="0" w:type="dxa"/>
            <w:right w:w="108" w:type="dxa"/>
          </w:tblCellMar>
        </w:tblPrEx>
        <w:trPr>
          <w:trHeight w:val="397" w:hRule="atLeast"/>
        </w:trPr>
        <w:tc>
          <w:tcPr>
            <w:tcW w:w="4980" w:type="dxa"/>
            <w:tcBorders>
              <w:top w:val="single" w:color="000000" w:sz="8" w:space="0"/>
              <w:left w:val="single" w:color="000000" w:sz="8" w:space="0"/>
              <w:bottom w:val="single" w:color="000000" w:sz="8" w:space="0"/>
              <w:right w:val="single" w:color="000000" w:sz="8" w:space="0"/>
            </w:tcBorders>
            <w:vAlign w:val="center"/>
          </w:tcPr>
          <w:p w14:paraId="13A50169">
            <w:pPr>
              <w:jc w:val="center"/>
              <w:rPr>
                <w:rFonts w:ascii="Times New Roman" w:hAnsi="Times New Roman" w:cs="Times New Roman" w:eastAsiaTheme="majorEastAsia"/>
                <w:bCs/>
                <w:sz w:val="24"/>
                <w:szCs w:val="24"/>
              </w:rPr>
            </w:pPr>
            <w:r>
              <w:rPr>
                <w:rFonts w:ascii="Times New Roman" w:hAnsi="Times New Roman" w:cs="Times New Roman" w:eastAsiaTheme="majorEastAsia"/>
                <w:bCs/>
                <w:sz w:val="24"/>
                <w:szCs w:val="24"/>
              </w:rPr>
              <w:t>校级</w:t>
            </w:r>
            <w:r>
              <w:rPr>
                <w:rFonts w:hint="eastAsia" w:ascii="Times New Roman" w:hAnsi="Times New Roman" w:cs="Times New Roman" w:eastAsiaTheme="majorEastAsia"/>
                <w:bCs/>
                <w:sz w:val="24"/>
                <w:szCs w:val="24"/>
                <w:lang w:val="en-US" w:eastAsia="zh-CN"/>
              </w:rPr>
              <w:t>最高级别</w:t>
            </w:r>
          </w:p>
        </w:tc>
        <w:tc>
          <w:tcPr>
            <w:tcW w:w="4200" w:type="dxa"/>
            <w:tcBorders>
              <w:top w:val="single" w:color="000000" w:sz="8" w:space="0"/>
              <w:left w:val="single" w:color="000000" w:sz="8" w:space="0"/>
              <w:bottom w:val="single" w:color="000000" w:sz="8" w:space="0"/>
              <w:right w:val="single" w:color="000000" w:sz="8" w:space="0"/>
            </w:tcBorders>
            <w:vAlign w:val="center"/>
          </w:tcPr>
          <w:p w14:paraId="24BEEDAC">
            <w:pPr>
              <w:jc w:val="center"/>
              <w:rPr>
                <w:rFonts w:ascii="Times New Roman" w:hAnsi="Times New Roman" w:cs="Times New Roman" w:eastAsiaTheme="majorEastAsia"/>
                <w:bCs/>
                <w:sz w:val="24"/>
                <w:szCs w:val="24"/>
              </w:rPr>
            </w:pPr>
            <w:r>
              <w:rPr>
                <w:rFonts w:ascii="Times New Roman" w:hAnsi="Times New Roman" w:cs="Times New Roman" w:eastAsiaTheme="majorEastAsia"/>
                <w:bCs/>
                <w:sz w:val="24"/>
                <w:szCs w:val="24"/>
              </w:rPr>
              <w:t>3</w:t>
            </w:r>
          </w:p>
        </w:tc>
      </w:tr>
      <w:tr w14:paraId="1150ADD5">
        <w:tblPrEx>
          <w:tblCellMar>
            <w:top w:w="0" w:type="dxa"/>
            <w:left w:w="108" w:type="dxa"/>
            <w:bottom w:w="0" w:type="dxa"/>
            <w:right w:w="108" w:type="dxa"/>
          </w:tblCellMar>
        </w:tblPrEx>
        <w:trPr>
          <w:trHeight w:val="397" w:hRule="atLeast"/>
        </w:trPr>
        <w:tc>
          <w:tcPr>
            <w:tcW w:w="4980" w:type="dxa"/>
            <w:tcBorders>
              <w:top w:val="single" w:color="000000" w:sz="8" w:space="0"/>
              <w:left w:val="single" w:color="000000" w:sz="8" w:space="0"/>
              <w:bottom w:val="single" w:color="000000" w:sz="8" w:space="0"/>
              <w:right w:val="single" w:color="000000" w:sz="8" w:space="0"/>
            </w:tcBorders>
            <w:vAlign w:val="center"/>
          </w:tcPr>
          <w:p w14:paraId="02E73EB4">
            <w:pPr>
              <w:jc w:val="center"/>
              <w:rPr>
                <w:rFonts w:ascii="Times New Roman" w:hAnsi="Times New Roman" w:cs="Times New Roman" w:eastAsiaTheme="majorEastAsia"/>
                <w:bCs/>
                <w:sz w:val="24"/>
                <w:szCs w:val="24"/>
              </w:rPr>
            </w:pPr>
            <w:r>
              <w:rPr>
                <w:rFonts w:ascii="Times New Roman" w:hAnsi="Times New Roman" w:cs="Times New Roman" w:eastAsiaTheme="majorEastAsia"/>
                <w:bCs/>
                <w:sz w:val="24"/>
                <w:szCs w:val="24"/>
              </w:rPr>
              <w:t>校级</w:t>
            </w:r>
            <w:r>
              <w:rPr>
                <w:rFonts w:hint="eastAsia" w:ascii="Times New Roman" w:hAnsi="Times New Roman" w:cs="Times New Roman" w:eastAsiaTheme="majorEastAsia"/>
                <w:bCs/>
                <w:sz w:val="24"/>
                <w:szCs w:val="24"/>
                <w:lang w:val="en-US" w:eastAsia="zh-CN"/>
              </w:rPr>
              <w:t>次高级别</w:t>
            </w:r>
          </w:p>
        </w:tc>
        <w:tc>
          <w:tcPr>
            <w:tcW w:w="4200" w:type="dxa"/>
            <w:tcBorders>
              <w:top w:val="single" w:color="000000" w:sz="8" w:space="0"/>
              <w:left w:val="single" w:color="000000" w:sz="8" w:space="0"/>
              <w:bottom w:val="single" w:color="000000" w:sz="8" w:space="0"/>
              <w:right w:val="single" w:color="000000" w:sz="8" w:space="0"/>
            </w:tcBorders>
            <w:vAlign w:val="center"/>
          </w:tcPr>
          <w:p w14:paraId="005C4304">
            <w:pPr>
              <w:jc w:val="center"/>
              <w:rPr>
                <w:rFonts w:ascii="Times New Roman" w:hAnsi="Times New Roman" w:cs="Times New Roman" w:eastAsiaTheme="majorEastAsia"/>
                <w:bCs/>
                <w:sz w:val="24"/>
                <w:szCs w:val="24"/>
              </w:rPr>
            </w:pPr>
            <w:r>
              <w:rPr>
                <w:rFonts w:ascii="Times New Roman" w:hAnsi="Times New Roman" w:cs="Times New Roman" w:eastAsiaTheme="majorEastAsia"/>
                <w:bCs/>
                <w:sz w:val="24"/>
                <w:szCs w:val="24"/>
              </w:rPr>
              <w:t>2</w:t>
            </w:r>
          </w:p>
        </w:tc>
      </w:tr>
      <w:tr w14:paraId="622F08F7">
        <w:tblPrEx>
          <w:tblCellMar>
            <w:top w:w="0" w:type="dxa"/>
            <w:left w:w="108" w:type="dxa"/>
            <w:bottom w:w="0" w:type="dxa"/>
            <w:right w:w="108" w:type="dxa"/>
          </w:tblCellMar>
        </w:tblPrEx>
        <w:trPr>
          <w:trHeight w:val="397" w:hRule="atLeast"/>
        </w:trPr>
        <w:tc>
          <w:tcPr>
            <w:tcW w:w="4980" w:type="dxa"/>
            <w:tcBorders>
              <w:top w:val="single" w:color="000000" w:sz="8" w:space="0"/>
              <w:left w:val="single" w:color="000000" w:sz="8" w:space="0"/>
              <w:bottom w:val="single" w:color="000000" w:sz="8" w:space="0"/>
              <w:right w:val="single" w:color="000000" w:sz="8" w:space="0"/>
            </w:tcBorders>
            <w:vAlign w:val="center"/>
          </w:tcPr>
          <w:p w14:paraId="5B407F3F">
            <w:pPr>
              <w:jc w:val="center"/>
              <w:rPr>
                <w:rFonts w:ascii="Times New Roman" w:hAnsi="Times New Roman" w:cs="Times New Roman" w:eastAsiaTheme="majorEastAsia"/>
                <w:bCs/>
                <w:sz w:val="24"/>
                <w:szCs w:val="24"/>
              </w:rPr>
            </w:pPr>
            <w:r>
              <w:rPr>
                <w:rFonts w:ascii="Times New Roman" w:hAnsi="Times New Roman" w:cs="Times New Roman" w:eastAsiaTheme="majorEastAsia"/>
                <w:bCs/>
                <w:sz w:val="24"/>
                <w:szCs w:val="24"/>
              </w:rPr>
              <w:t>校级</w:t>
            </w:r>
            <w:r>
              <w:rPr>
                <w:rFonts w:hint="eastAsia" w:ascii="Times New Roman" w:hAnsi="Times New Roman" w:cs="Times New Roman" w:eastAsiaTheme="majorEastAsia"/>
                <w:bCs/>
                <w:sz w:val="24"/>
                <w:szCs w:val="24"/>
                <w:lang w:val="en-US" w:eastAsia="zh-CN"/>
              </w:rPr>
              <w:t>第三级别</w:t>
            </w:r>
          </w:p>
        </w:tc>
        <w:tc>
          <w:tcPr>
            <w:tcW w:w="4200" w:type="dxa"/>
            <w:tcBorders>
              <w:top w:val="single" w:color="000000" w:sz="8" w:space="0"/>
              <w:left w:val="single" w:color="000000" w:sz="8" w:space="0"/>
              <w:bottom w:val="single" w:color="000000" w:sz="8" w:space="0"/>
              <w:right w:val="single" w:color="000000" w:sz="8" w:space="0"/>
            </w:tcBorders>
            <w:vAlign w:val="center"/>
          </w:tcPr>
          <w:p w14:paraId="3CCF463C">
            <w:pPr>
              <w:jc w:val="center"/>
              <w:rPr>
                <w:rFonts w:ascii="Times New Roman" w:hAnsi="Times New Roman" w:cs="Times New Roman" w:eastAsiaTheme="majorEastAsia"/>
                <w:bCs/>
                <w:sz w:val="24"/>
                <w:szCs w:val="24"/>
              </w:rPr>
            </w:pPr>
            <w:r>
              <w:rPr>
                <w:rFonts w:ascii="Times New Roman" w:hAnsi="Times New Roman" w:cs="Times New Roman" w:eastAsiaTheme="majorEastAsia"/>
                <w:bCs/>
                <w:sz w:val="24"/>
                <w:szCs w:val="24"/>
              </w:rPr>
              <w:t>1</w:t>
            </w:r>
          </w:p>
        </w:tc>
      </w:tr>
    </w:tbl>
    <w:p w14:paraId="74E5AAFC">
      <w:pPr>
        <w:pStyle w:val="5"/>
        <w:spacing w:before="0" w:after="0" w:line="240" w:lineRule="exact"/>
        <w:ind w:firstLine="420" w:firstLineChars="200"/>
        <w:jc w:val="left"/>
        <w:outlineLvl w:val="9"/>
        <w:rPr>
          <w:rFonts w:ascii="Times New Roman" w:hAnsi="Times New Roman" w:cs="Times New Roman"/>
          <w:b w:val="0"/>
          <w:bCs w:val="0"/>
          <w:sz w:val="21"/>
          <w:szCs w:val="21"/>
        </w:rPr>
      </w:pPr>
      <w:r>
        <w:rPr>
          <w:rFonts w:ascii="Times New Roman" w:hAnsi="Times New Roman" w:cs="Times New Roman"/>
          <w:b w:val="0"/>
          <w:bCs w:val="0"/>
          <w:sz w:val="21"/>
          <w:szCs w:val="21"/>
        </w:rPr>
        <w:t>注：若申请生多次参加暑期社会实践</w:t>
      </w:r>
      <w:r>
        <w:rPr>
          <w:rFonts w:hint="eastAsia" w:ascii="Times New Roman" w:hAnsi="Times New Roman" w:cs="Times New Roman"/>
          <w:b w:val="0"/>
          <w:bCs w:val="0"/>
          <w:sz w:val="21"/>
          <w:szCs w:val="21"/>
        </w:rPr>
        <w:t>，每年最多认定2次。</w:t>
      </w:r>
      <w:r>
        <w:rPr>
          <w:rFonts w:ascii="Times New Roman" w:hAnsi="Times New Roman" w:cs="Times New Roman"/>
          <w:b w:val="0"/>
          <w:bCs w:val="0"/>
          <w:sz w:val="21"/>
          <w:szCs w:val="21"/>
        </w:rPr>
        <w:t>累计得分</w:t>
      </w:r>
      <w:r>
        <w:rPr>
          <w:rFonts w:hint="eastAsia" w:ascii="Times New Roman" w:hAnsi="Times New Roman" w:cs="Times New Roman"/>
          <w:b w:val="0"/>
          <w:bCs w:val="0"/>
          <w:sz w:val="21"/>
          <w:szCs w:val="21"/>
        </w:rPr>
        <w:t>不</w:t>
      </w:r>
      <w:r>
        <w:rPr>
          <w:rFonts w:ascii="Times New Roman" w:hAnsi="Times New Roman" w:cs="Times New Roman"/>
          <w:b w:val="0"/>
          <w:bCs w:val="0"/>
          <w:sz w:val="21"/>
          <w:szCs w:val="21"/>
        </w:rPr>
        <w:t>超过20分</w:t>
      </w:r>
      <w:r>
        <w:rPr>
          <w:rFonts w:hint="eastAsia" w:ascii="Times New Roman" w:hAnsi="Times New Roman" w:cs="Times New Roman"/>
          <w:b w:val="0"/>
          <w:bCs w:val="0"/>
          <w:sz w:val="21"/>
          <w:szCs w:val="21"/>
        </w:rPr>
        <w:t>。</w:t>
      </w:r>
    </w:p>
    <w:p w14:paraId="4893DA5D">
      <w:pPr>
        <w:spacing w:line="560" w:lineRule="exact"/>
        <w:ind w:firstLine="643" w:firstLineChars="200"/>
        <w:rPr>
          <w:rFonts w:ascii="仿宋" w:hAnsi="仿宋" w:eastAsia="仿宋"/>
          <w:b/>
          <w:sz w:val="32"/>
          <w:szCs w:val="32"/>
        </w:rPr>
      </w:pPr>
      <w:r>
        <w:rPr>
          <w:rFonts w:hint="eastAsia" w:ascii="仿宋" w:hAnsi="仿宋" w:eastAsia="仿宋"/>
          <w:b/>
          <w:sz w:val="32"/>
          <w:szCs w:val="32"/>
        </w:rPr>
        <w:t>6.到国际组织实习和学生参军入伍服兵役</w:t>
      </w:r>
    </w:p>
    <w:p w14:paraId="30C37B03">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到国际组织实习，并圆满完成，以国际合作与交流处和教务处证明为准，加5分；参军入伍服兵役，顺利完成兵役任务退伍的，以人民武装部证明为准，加5分。</w:t>
      </w:r>
    </w:p>
    <w:p w14:paraId="7A92135F">
      <w:pPr>
        <w:spacing w:line="560" w:lineRule="exact"/>
        <w:ind w:firstLine="643" w:firstLineChars="200"/>
        <w:rPr>
          <w:rFonts w:hint="eastAsia" w:ascii="仿宋" w:hAnsi="仿宋" w:eastAsia="仿宋"/>
          <w:b/>
          <w:sz w:val="32"/>
          <w:szCs w:val="32"/>
          <w:lang w:val="en-US" w:eastAsia="zh-CN"/>
        </w:rPr>
      </w:pPr>
      <w:r>
        <w:rPr>
          <w:rFonts w:hint="eastAsia" w:ascii="仿宋" w:hAnsi="仿宋" w:eastAsia="仿宋"/>
          <w:b/>
          <w:sz w:val="32"/>
          <w:szCs w:val="32"/>
          <w:lang w:val="en-US" w:eastAsia="zh-CN"/>
        </w:rPr>
        <w:t>7.材料审核</w:t>
      </w:r>
    </w:p>
    <w:p w14:paraId="1E6CE967">
      <w:pPr>
        <w:spacing w:line="560" w:lineRule="exact"/>
        <w:ind w:firstLine="640" w:firstLineChars="200"/>
        <w:rPr>
          <w:rFonts w:hint="default" w:ascii="仿宋" w:hAnsi="仿宋" w:eastAsia="仿宋"/>
          <w:b/>
          <w:sz w:val="32"/>
          <w:szCs w:val="32"/>
          <w:lang w:val="en-US" w:eastAsia="zh-CN"/>
        </w:rPr>
      </w:pPr>
      <w:r>
        <w:rPr>
          <w:rFonts w:hint="eastAsia" w:ascii="仿宋" w:hAnsi="仿宋" w:eastAsia="仿宋"/>
          <w:sz w:val="32"/>
          <w:szCs w:val="32"/>
          <w:lang w:val="en-US" w:eastAsia="zh-CN"/>
        </w:rPr>
        <w:t>学院组成材料审核专家组，每组不少于3人，对学生提交的高水平科研创新成果、竞赛奖项等的真实性、原创性进行审核鉴定，排除抄袭、造假、冒名、有名无实等情况，并给出审核意见，以上加分项以材料审核专家组最终意见为准。</w:t>
      </w:r>
    </w:p>
    <w:p w14:paraId="2D807987">
      <w:pPr>
        <w:pStyle w:val="5"/>
        <w:spacing w:before="0" w:after="0" w:line="560" w:lineRule="exact"/>
        <w:ind w:firstLine="643" w:firstLineChars="200"/>
        <w:jc w:val="left"/>
        <w:outlineLvl w:val="1"/>
        <w:rPr>
          <w:rFonts w:ascii="楷体_GB2312" w:hAnsi="仿宋" w:eastAsia="楷体_GB2312"/>
        </w:rPr>
      </w:pPr>
      <w:r>
        <w:rPr>
          <w:rFonts w:hint="eastAsia" w:ascii="楷体_GB2312" w:hAnsi="仿宋" w:eastAsia="楷体_GB2312"/>
        </w:rPr>
        <w:t>（三）综合考查成绩核算标准</w:t>
      </w:r>
    </w:p>
    <w:p w14:paraId="326B50C2">
      <w:pPr>
        <w:spacing w:line="560" w:lineRule="exact"/>
        <w:ind w:firstLine="640" w:firstLineChars="200"/>
        <w:rPr>
          <w:rFonts w:ascii="仿宋" w:hAnsi="仿宋" w:eastAsia="仿宋"/>
          <w:sz w:val="32"/>
          <w:szCs w:val="32"/>
        </w:rPr>
      </w:pPr>
      <w:r>
        <w:rPr>
          <w:rFonts w:ascii="仿宋" w:hAnsi="仿宋" w:eastAsia="仿宋"/>
          <w:sz w:val="32"/>
          <w:szCs w:val="32"/>
        </w:rPr>
        <w:t>由学院组织相应专业的</w:t>
      </w:r>
      <w:r>
        <w:rPr>
          <w:rFonts w:hint="eastAsia" w:ascii="仿宋" w:hAnsi="仿宋" w:eastAsia="仿宋"/>
          <w:sz w:val="32"/>
          <w:szCs w:val="32"/>
        </w:rPr>
        <w:t>专家，组成考查考核</w:t>
      </w:r>
      <w:r>
        <w:rPr>
          <w:rFonts w:ascii="仿宋" w:hAnsi="仿宋" w:eastAsia="仿宋"/>
          <w:sz w:val="32"/>
          <w:szCs w:val="32"/>
        </w:rPr>
        <w:t>小组，对申请者的专业基础和专业知识的掌握程度、外语能力、科研设想及学术潜质、思想政治表现等情况进行综合</w:t>
      </w:r>
      <w:r>
        <w:rPr>
          <w:rFonts w:hint="eastAsia" w:ascii="仿宋" w:hAnsi="仿宋" w:eastAsia="仿宋"/>
          <w:sz w:val="32"/>
          <w:szCs w:val="32"/>
          <w:lang w:eastAsia="zh-CN"/>
        </w:rPr>
        <w:t>考查</w:t>
      </w:r>
      <w:r>
        <w:rPr>
          <w:rFonts w:ascii="仿宋" w:hAnsi="仿宋" w:eastAsia="仿宋"/>
          <w:sz w:val="32"/>
          <w:szCs w:val="32"/>
        </w:rPr>
        <w:t>。</w:t>
      </w:r>
    </w:p>
    <w:p w14:paraId="59EC75F8">
      <w:pPr>
        <w:spacing w:line="560" w:lineRule="exact"/>
        <w:ind w:left="1" w:firstLine="643" w:firstLineChars="200"/>
        <w:outlineLvl w:val="0"/>
        <w:rPr>
          <w:rFonts w:ascii="黑体" w:hAnsi="黑体" w:eastAsia="黑体"/>
          <w:b/>
          <w:bCs/>
          <w:sz w:val="32"/>
          <w:szCs w:val="32"/>
        </w:rPr>
      </w:pPr>
      <w:r>
        <w:rPr>
          <w:rFonts w:hint="eastAsia" w:ascii="黑体" w:hAnsi="黑体" w:eastAsia="黑体"/>
          <w:b/>
          <w:bCs/>
          <w:sz w:val="32"/>
          <w:szCs w:val="32"/>
        </w:rPr>
        <w:t>六</w:t>
      </w:r>
      <w:r>
        <w:rPr>
          <w:rFonts w:ascii="黑体" w:hAnsi="黑体" w:eastAsia="黑体"/>
          <w:b/>
          <w:bCs/>
          <w:sz w:val="32"/>
          <w:szCs w:val="32"/>
        </w:rPr>
        <w:t>、其他事项</w:t>
      </w:r>
    </w:p>
    <w:p w14:paraId="7FE636C7">
      <w:pPr>
        <w:spacing w:line="560" w:lineRule="exact"/>
        <w:ind w:left="1" w:firstLine="640" w:firstLineChars="200"/>
        <w:rPr>
          <w:rFonts w:ascii="仿宋" w:hAnsi="仿宋" w:eastAsia="仿宋"/>
          <w:sz w:val="32"/>
          <w:szCs w:val="32"/>
        </w:rPr>
      </w:pPr>
      <w:r>
        <w:rPr>
          <w:rFonts w:hint="eastAsia" w:ascii="仿宋" w:hAnsi="仿宋" w:eastAsia="仿宋"/>
          <w:sz w:val="32"/>
          <w:szCs w:val="32"/>
        </w:rPr>
        <w:t>（一）</w:t>
      </w:r>
      <w:r>
        <w:rPr>
          <w:rFonts w:ascii="仿宋" w:hAnsi="仿宋" w:eastAsia="仿宋"/>
          <w:sz w:val="32"/>
          <w:szCs w:val="32"/>
        </w:rPr>
        <w:t>所有申请推荐资格的学生至少应有一位当年具有招生资格的导师推荐。</w:t>
      </w:r>
    </w:p>
    <w:p w14:paraId="357200A8">
      <w:pPr>
        <w:spacing w:line="560" w:lineRule="exact"/>
        <w:ind w:left="1" w:firstLine="640" w:firstLineChars="200"/>
        <w:rPr>
          <w:rFonts w:ascii="仿宋" w:hAnsi="仿宋" w:eastAsia="仿宋"/>
          <w:sz w:val="32"/>
          <w:szCs w:val="32"/>
        </w:rPr>
      </w:pPr>
      <w:r>
        <w:rPr>
          <w:rFonts w:hint="eastAsia" w:ascii="仿宋" w:hAnsi="仿宋" w:eastAsia="仿宋"/>
          <w:sz w:val="32"/>
          <w:szCs w:val="32"/>
        </w:rPr>
        <w:t>（二）</w:t>
      </w:r>
      <w:r>
        <w:rPr>
          <w:rFonts w:ascii="仿宋" w:hAnsi="仿宋" w:eastAsia="仿宋"/>
          <w:sz w:val="32"/>
          <w:szCs w:val="32"/>
        </w:rPr>
        <w:t>符合推荐资格的学生可自由申请专项推荐指标的一种或普通推荐指标。已确定拟推荐的学生不得重新申报。</w:t>
      </w:r>
    </w:p>
    <w:p w14:paraId="07C4EC69">
      <w:pPr>
        <w:spacing w:line="560" w:lineRule="exact"/>
        <w:ind w:left="1" w:firstLine="640" w:firstLineChars="200"/>
        <w:rPr>
          <w:rFonts w:ascii="仿宋" w:hAnsi="仿宋" w:eastAsia="仿宋"/>
          <w:sz w:val="32"/>
          <w:szCs w:val="32"/>
        </w:rPr>
      </w:pPr>
      <w:r>
        <w:rPr>
          <w:rFonts w:hint="eastAsia" w:ascii="仿宋" w:hAnsi="仿宋" w:eastAsia="仿宋"/>
          <w:sz w:val="32"/>
          <w:szCs w:val="32"/>
        </w:rPr>
        <w:t>（三）</w:t>
      </w:r>
      <w:r>
        <w:rPr>
          <w:rFonts w:ascii="仿宋" w:hAnsi="仿宋" w:eastAsia="仿宋"/>
          <w:sz w:val="32"/>
          <w:szCs w:val="32"/>
        </w:rPr>
        <w:t>在推荐工作中，</w:t>
      </w:r>
      <w:r>
        <w:rPr>
          <w:rFonts w:hint="eastAsia" w:ascii="仿宋" w:hAnsi="仿宋" w:eastAsia="仿宋"/>
          <w:sz w:val="32"/>
          <w:szCs w:val="32"/>
        </w:rPr>
        <w:t>在国际组织实习的学生及拟攻读交叉学科的学生，</w:t>
      </w:r>
      <w:r>
        <w:rPr>
          <w:rFonts w:hint="eastAsia" w:ascii="仿宋" w:hAnsi="仿宋" w:eastAsia="仿宋"/>
          <w:sz w:val="32"/>
          <w:szCs w:val="32"/>
          <w:lang w:eastAsia="zh-CN"/>
        </w:rPr>
        <w:t>在同等条件下优先</w:t>
      </w:r>
      <w:r>
        <w:rPr>
          <w:rFonts w:hint="eastAsia" w:ascii="仿宋" w:hAnsi="仿宋" w:eastAsia="仿宋"/>
          <w:sz w:val="32"/>
          <w:szCs w:val="32"/>
        </w:rPr>
        <w:t>录取。</w:t>
      </w:r>
    </w:p>
    <w:p w14:paraId="38602271">
      <w:pPr>
        <w:spacing w:line="560" w:lineRule="exact"/>
        <w:ind w:left="1" w:firstLine="640" w:firstLineChars="200"/>
        <w:rPr>
          <w:rFonts w:ascii="仿宋" w:hAnsi="仿宋" w:eastAsia="仿宋"/>
          <w:sz w:val="32"/>
          <w:szCs w:val="32"/>
        </w:rPr>
      </w:pPr>
      <w:r>
        <w:rPr>
          <w:rFonts w:hint="eastAsia" w:ascii="仿宋" w:hAnsi="仿宋" w:eastAsia="仿宋"/>
          <w:sz w:val="32"/>
          <w:szCs w:val="32"/>
        </w:rPr>
        <w:t>（四）</w:t>
      </w:r>
      <w:r>
        <w:rPr>
          <w:rFonts w:ascii="仿宋" w:hAnsi="仿宋" w:eastAsia="仿宋"/>
          <w:sz w:val="32"/>
          <w:szCs w:val="32"/>
        </w:rPr>
        <w:t>对有特殊学术专长或具有突出培养潜质的应届本科毕业生，可申请学术特长生推荐免试资格，具体按《西北农林科技大学学术特长生免试攻读研究生推荐办法》（教务〔</w:t>
      </w:r>
      <w:bookmarkStart w:id="0" w:name="%E5%B9%B4%E4%BB%BD"/>
      <w:r>
        <w:rPr>
          <w:rFonts w:hint="eastAsia" w:ascii="仿宋" w:hAnsi="仿宋" w:eastAsia="仿宋"/>
          <w:sz w:val="32"/>
          <w:szCs w:val="32"/>
        </w:rPr>
        <w:t>2021</w:t>
      </w:r>
      <w:bookmarkEnd w:id="0"/>
      <w:r>
        <w:rPr>
          <w:rFonts w:hint="eastAsia" w:ascii="仿宋" w:hAnsi="仿宋" w:eastAsia="仿宋"/>
          <w:sz w:val="32"/>
          <w:szCs w:val="32"/>
        </w:rPr>
        <w:t>〕10号</w:t>
      </w:r>
      <w:r>
        <w:rPr>
          <w:rFonts w:ascii="仿宋" w:hAnsi="仿宋" w:eastAsia="仿宋"/>
          <w:sz w:val="32"/>
          <w:szCs w:val="32"/>
        </w:rPr>
        <w:t>）执行。</w:t>
      </w:r>
    </w:p>
    <w:p w14:paraId="4588F026">
      <w:pPr>
        <w:spacing w:line="560" w:lineRule="exact"/>
        <w:ind w:left="1" w:firstLine="640" w:firstLineChars="20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五</w:t>
      </w:r>
      <w:r>
        <w:rPr>
          <w:rFonts w:ascii="仿宋" w:hAnsi="仿宋" w:eastAsia="仿宋"/>
          <w:sz w:val="32"/>
          <w:szCs w:val="32"/>
        </w:rPr>
        <w:t>）研究生支教团专项计划推免生的推荐，由校团委牵头负责制定遴选办法，负责遴选推荐工作。</w:t>
      </w:r>
    </w:p>
    <w:p w14:paraId="52148166">
      <w:pPr>
        <w:spacing w:line="560" w:lineRule="exact"/>
        <w:ind w:left="1" w:firstLine="640" w:firstLineChars="20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六</w:t>
      </w:r>
      <w:r>
        <w:rPr>
          <w:rFonts w:ascii="仿宋" w:hAnsi="仿宋" w:eastAsia="仿宋"/>
          <w:sz w:val="32"/>
          <w:szCs w:val="32"/>
        </w:rPr>
        <w:t>）在学校规定的推免期限内未提出推免申请者，学校不再保留其推免资格。</w:t>
      </w:r>
    </w:p>
    <w:p w14:paraId="7A80D845">
      <w:pPr>
        <w:spacing w:line="560" w:lineRule="exact"/>
        <w:ind w:left="1" w:firstLine="640" w:firstLineChars="20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七</w:t>
      </w:r>
      <w:r>
        <w:rPr>
          <w:rFonts w:ascii="仿宋" w:hAnsi="仿宋" w:eastAsia="仿宋"/>
          <w:sz w:val="32"/>
          <w:szCs w:val="32"/>
        </w:rPr>
        <w:t>）推免生出现下列情况之一，按有关规定处理，并取消其推免资格或入学资格：</w:t>
      </w:r>
    </w:p>
    <w:p w14:paraId="60E58ABA">
      <w:pPr>
        <w:spacing w:line="560" w:lineRule="exact"/>
        <w:ind w:left="1" w:firstLine="640" w:firstLineChars="200"/>
        <w:rPr>
          <w:rFonts w:ascii="仿宋" w:hAnsi="仿宋" w:eastAsia="仿宋"/>
          <w:sz w:val="32"/>
          <w:szCs w:val="32"/>
        </w:rPr>
      </w:pPr>
      <w:r>
        <w:rPr>
          <w:rFonts w:ascii="仿宋" w:hAnsi="仿宋" w:eastAsia="仿宋"/>
          <w:sz w:val="32"/>
          <w:szCs w:val="32"/>
        </w:rPr>
        <w:t>1.弄虚作假、</w:t>
      </w:r>
      <w:r>
        <w:rPr>
          <w:rFonts w:hint="eastAsia" w:ascii="仿宋" w:hAnsi="仿宋" w:eastAsia="仿宋"/>
          <w:sz w:val="32"/>
          <w:szCs w:val="32"/>
        </w:rPr>
        <w:t>有论文（文章）抄袭、虚报获奖或科研成果等学术不端行为的</w:t>
      </w:r>
      <w:r>
        <w:rPr>
          <w:rFonts w:ascii="仿宋" w:hAnsi="仿宋" w:eastAsia="仿宋"/>
          <w:sz w:val="32"/>
          <w:szCs w:val="32"/>
        </w:rPr>
        <w:t>；</w:t>
      </w:r>
    </w:p>
    <w:p w14:paraId="54C79D8D">
      <w:pPr>
        <w:spacing w:line="560" w:lineRule="exact"/>
        <w:ind w:left="1" w:firstLine="640" w:firstLineChars="200"/>
        <w:rPr>
          <w:rFonts w:ascii="仿宋" w:hAnsi="仿宋" w:eastAsia="仿宋"/>
          <w:sz w:val="32"/>
          <w:szCs w:val="32"/>
        </w:rPr>
      </w:pPr>
      <w:r>
        <w:rPr>
          <w:rFonts w:ascii="仿宋" w:hAnsi="仿宋" w:eastAsia="仿宋"/>
          <w:sz w:val="32"/>
          <w:szCs w:val="32"/>
        </w:rPr>
        <w:t>2.思想政治品德考核不合格或考核成绩</w:t>
      </w:r>
      <w:r>
        <w:rPr>
          <w:rFonts w:hint="eastAsia" w:ascii="仿宋" w:hAnsi="仿宋" w:eastAsia="仿宋"/>
          <w:sz w:val="32"/>
          <w:szCs w:val="32"/>
          <w:lang w:eastAsia="zh-CN"/>
        </w:rPr>
        <w:t>低于</w:t>
      </w:r>
      <w:r>
        <w:rPr>
          <w:rFonts w:ascii="仿宋" w:hAnsi="仿宋" w:eastAsia="仿宋"/>
          <w:sz w:val="32"/>
          <w:szCs w:val="32"/>
        </w:rPr>
        <w:t>60分者；</w:t>
      </w:r>
    </w:p>
    <w:p w14:paraId="36E417BB">
      <w:pPr>
        <w:spacing w:line="560" w:lineRule="exact"/>
        <w:ind w:left="1" w:firstLine="640" w:firstLineChars="200"/>
        <w:rPr>
          <w:rFonts w:ascii="仿宋" w:hAnsi="仿宋" w:eastAsia="仿宋"/>
          <w:sz w:val="32"/>
          <w:szCs w:val="32"/>
        </w:rPr>
      </w:pPr>
      <w:r>
        <w:rPr>
          <w:rFonts w:ascii="仿宋" w:hAnsi="仿宋" w:eastAsia="仿宋"/>
          <w:sz w:val="32"/>
          <w:szCs w:val="32"/>
        </w:rPr>
        <w:t>3.受学校纪律处分，在处分期内者；</w:t>
      </w:r>
    </w:p>
    <w:p w14:paraId="46120239">
      <w:pPr>
        <w:spacing w:line="560" w:lineRule="exact"/>
        <w:ind w:left="1" w:firstLine="640" w:firstLineChars="200"/>
        <w:rPr>
          <w:rFonts w:ascii="仿宋" w:hAnsi="仿宋" w:eastAsia="仿宋"/>
          <w:sz w:val="32"/>
          <w:szCs w:val="32"/>
        </w:rPr>
      </w:pPr>
      <w:r>
        <w:rPr>
          <w:rFonts w:ascii="仿宋" w:hAnsi="仿宋" w:eastAsia="仿宋"/>
          <w:sz w:val="32"/>
          <w:szCs w:val="32"/>
        </w:rPr>
        <w:t>4.在规定学习年限内不能按期毕业取得学士学位者。</w:t>
      </w:r>
    </w:p>
    <w:p w14:paraId="458A64EC">
      <w:pPr>
        <w:spacing w:line="560" w:lineRule="exact"/>
        <w:ind w:left="1" w:firstLine="640" w:firstLineChars="200"/>
        <w:rPr>
          <w:rFonts w:ascii="仿宋" w:hAnsi="仿宋" w:eastAsia="仿宋"/>
          <w:sz w:val="32"/>
          <w:szCs w:val="32"/>
        </w:rPr>
      </w:pPr>
      <w:r>
        <w:rPr>
          <w:rFonts w:hint="eastAsia" w:ascii="仿宋" w:hAnsi="仿宋" w:eastAsia="仿宋"/>
          <w:sz w:val="32"/>
          <w:szCs w:val="32"/>
          <w:lang w:eastAsia="zh-CN"/>
        </w:rPr>
        <w:t>（八）</w:t>
      </w:r>
      <w:r>
        <w:rPr>
          <w:rFonts w:ascii="仿宋" w:hAnsi="仿宋" w:eastAsia="仿宋"/>
          <w:sz w:val="32"/>
          <w:szCs w:val="32"/>
        </w:rPr>
        <w:t>根据《西北农林科技大学研究生招生工作回避规定》</w:t>
      </w:r>
      <w:r>
        <w:rPr>
          <w:rFonts w:hint="eastAsia" w:ascii="仿宋" w:hAnsi="仿宋" w:eastAsia="仿宋"/>
          <w:sz w:val="32"/>
          <w:szCs w:val="32"/>
          <w:lang w:eastAsia="zh-CN"/>
        </w:rPr>
        <w:t>（</w:t>
      </w:r>
      <w:r>
        <w:rPr>
          <w:rFonts w:ascii="仿宋" w:hAnsi="仿宋" w:eastAsia="仿宋"/>
          <w:sz w:val="32"/>
          <w:szCs w:val="32"/>
        </w:rPr>
        <w:t>校研发</w:t>
      </w:r>
      <w:r>
        <w:rPr>
          <w:rFonts w:hint="eastAsia" w:ascii="仿宋" w:hAnsi="仿宋" w:eastAsia="仿宋"/>
          <w:sz w:val="32"/>
          <w:szCs w:val="32"/>
          <w:lang w:eastAsia="zh-CN"/>
        </w:rPr>
        <w:t>〔2020〕106号）</w:t>
      </w:r>
      <w:r>
        <w:rPr>
          <w:rFonts w:ascii="仿宋" w:hAnsi="仿宋" w:eastAsia="仿宋"/>
          <w:sz w:val="32"/>
          <w:szCs w:val="32"/>
        </w:rPr>
        <w:t>等文件，严格执行回避规定</w:t>
      </w:r>
      <w:r>
        <w:rPr>
          <w:rFonts w:hint="eastAsia" w:ascii="仿宋" w:hAnsi="仿宋" w:eastAsia="仿宋"/>
          <w:sz w:val="32"/>
          <w:szCs w:val="32"/>
          <w:lang w:eastAsia="zh-CN"/>
        </w:rPr>
        <w:t>。</w:t>
      </w:r>
      <w:r>
        <w:rPr>
          <w:rFonts w:ascii="仿宋" w:hAnsi="仿宋" w:eastAsia="仿宋"/>
          <w:sz w:val="32"/>
          <w:szCs w:val="32"/>
        </w:rPr>
        <w:t>推免相关工作人员有直系亲属或利益相关人员报名参加本单位推免招生的</w:t>
      </w:r>
      <w:r>
        <w:rPr>
          <w:rFonts w:hint="eastAsia" w:ascii="仿宋" w:hAnsi="仿宋" w:eastAsia="仿宋"/>
          <w:sz w:val="32"/>
          <w:szCs w:val="32"/>
          <w:lang w:eastAsia="zh-CN"/>
        </w:rPr>
        <w:t>，应</w:t>
      </w:r>
      <w:r>
        <w:rPr>
          <w:rFonts w:ascii="仿宋" w:hAnsi="仿宋" w:eastAsia="仿宋"/>
          <w:sz w:val="32"/>
          <w:szCs w:val="32"/>
        </w:rPr>
        <w:t>主动申请回避</w:t>
      </w:r>
      <w:r>
        <w:rPr>
          <w:rFonts w:hint="eastAsia" w:ascii="仿宋" w:hAnsi="仿宋" w:eastAsia="仿宋"/>
          <w:sz w:val="32"/>
          <w:szCs w:val="32"/>
          <w:lang w:eastAsia="zh-CN"/>
        </w:rPr>
        <w:t>；</w:t>
      </w:r>
      <w:r>
        <w:rPr>
          <w:rFonts w:ascii="仿宋" w:hAnsi="仿宋" w:eastAsia="仿宋"/>
          <w:sz w:val="32"/>
          <w:szCs w:val="32"/>
        </w:rPr>
        <w:t>有非直系</w:t>
      </w:r>
      <w:r>
        <w:rPr>
          <w:rFonts w:hint="eastAsia" w:ascii="仿宋" w:hAnsi="仿宋" w:eastAsia="仿宋"/>
          <w:sz w:val="32"/>
          <w:szCs w:val="32"/>
        </w:rPr>
        <w:t>亲</w:t>
      </w:r>
      <w:r>
        <w:rPr>
          <w:rFonts w:ascii="仿宋" w:hAnsi="仿宋" w:eastAsia="仿宋"/>
          <w:sz w:val="32"/>
          <w:szCs w:val="32"/>
        </w:rPr>
        <w:t>属等报名参加推免招生的</w:t>
      </w:r>
      <w:r>
        <w:rPr>
          <w:rFonts w:hint="eastAsia" w:ascii="仿宋" w:hAnsi="仿宋" w:eastAsia="仿宋"/>
          <w:sz w:val="32"/>
          <w:szCs w:val="32"/>
          <w:lang w:eastAsia="zh-CN"/>
        </w:rPr>
        <w:t>，要</w:t>
      </w:r>
      <w:r>
        <w:rPr>
          <w:rFonts w:ascii="仿宋" w:hAnsi="仿宋" w:eastAsia="仿宋"/>
          <w:sz w:val="32"/>
          <w:szCs w:val="32"/>
        </w:rPr>
        <w:t>主动向学院报备。相关学生</w:t>
      </w:r>
      <w:r>
        <w:rPr>
          <w:rFonts w:hint="eastAsia" w:ascii="仿宋" w:hAnsi="仿宋" w:eastAsia="仿宋"/>
          <w:sz w:val="32"/>
          <w:szCs w:val="32"/>
        </w:rPr>
        <w:t>申</w:t>
      </w:r>
      <w:r>
        <w:rPr>
          <w:rFonts w:ascii="仿宋" w:hAnsi="仿宋" w:eastAsia="仿宋"/>
          <w:sz w:val="32"/>
          <w:szCs w:val="32"/>
        </w:rPr>
        <w:t>请推免资格时也应主动向学院报备声明。对未按</w:t>
      </w:r>
      <w:r>
        <w:rPr>
          <w:rFonts w:hint="eastAsia" w:ascii="仿宋" w:hAnsi="仿宋" w:eastAsia="仿宋"/>
          <w:sz w:val="32"/>
          <w:szCs w:val="32"/>
        </w:rPr>
        <w:t>规定</w:t>
      </w:r>
      <w:r>
        <w:rPr>
          <w:rFonts w:ascii="仿宋" w:hAnsi="仿宋" w:eastAsia="仿宋"/>
          <w:sz w:val="32"/>
          <w:szCs w:val="32"/>
        </w:rPr>
        <w:t>报备声明回避关系的推免相关工作人员，学校将依</w:t>
      </w:r>
      <w:r>
        <w:rPr>
          <w:rFonts w:hint="eastAsia" w:ascii="仿宋" w:hAnsi="仿宋" w:eastAsia="仿宋"/>
          <w:sz w:val="32"/>
          <w:szCs w:val="32"/>
        </w:rPr>
        <w:t>规</w:t>
      </w:r>
      <w:r>
        <w:rPr>
          <w:rFonts w:ascii="仿宋" w:hAnsi="仿宋" w:eastAsia="仿宋"/>
          <w:sz w:val="32"/>
          <w:szCs w:val="32"/>
        </w:rPr>
        <w:t>依纪严肃处理</w:t>
      </w:r>
      <w:r>
        <w:rPr>
          <w:rFonts w:hint="eastAsia" w:ascii="仿宋" w:hAnsi="仿宋" w:eastAsia="仿宋"/>
          <w:sz w:val="32"/>
          <w:szCs w:val="32"/>
          <w:lang w:eastAsia="zh-CN"/>
        </w:rPr>
        <w:t>；</w:t>
      </w:r>
      <w:r>
        <w:rPr>
          <w:rFonts w:ascii="仿宋" w:hAnsi="仿宋" w:eastAsia="仿宋"/>
          <w:sz w:val="32"/>
          <w:szCs w:val="32"/>
        </w:rPr>
        <w:t>对未按</w:t>
      </w:r>
      <w:r>
        <w:rPr>
          <w:rFonts w:hint="eastAsia" w:ascii="仿宋" w:hAnsi="仿宋" w:eastAsia="仿宋"/>
          <w:sz w:val="32"/>
          <w:szCs w:val="32"/>
        </w:rPr>
        <w:t>规定报备声明回避</w:t>
      </w:r>
      <w:r>
        <w:rPr>
          <w:rFonts w:ascii="仿宋" w:hAnsi="仿宋" w:eastAsia="仿宋"/>
          <w:sz w:val="32"/>
          <w:szCs w:val="32"/>
        </w:rPr>
        <w:t>关系且影响推免过程和结果公平公正的学生，学校将取消其推免资格。</w:t>
      </w:r>
    </w:p>
    <w:p w14:paraId="38F29B3F">
      <w:pPr>
        <w:spacing w:line="560" w:lineRule="exact"/>
        <w:ind w:left="1" w:firstLine="640" w:firstLineChars="20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九</w:t>
      </w:r>
      <w:r>
        <w:rPr>
          <w:rFonts w:ascii="仿宋" w:hAnsi="仿宋" w:eastAsia="仿宋"/>
          <w:sz w:val="32"/>
          <w:szCs w:val="32"/>
        </w:rPr>
        <w:t>）申请推免的学生，如对遴选结果有异议，在公示期内，可向学院推免生遴选工作小组或学校推免生遴选工作领导小组（监察处）提出复议申请。</w:t>
      </w:r>
    </w:p>
    <w:p w14:paraId="0B8DCBDC">
      <w:pPr>
        <w:spacing w:line="560" w:lineRule="exact"/>
        <w:ind w:left="1" w:firstLine="640" w:firstLineChars="20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十</w:t>
      </w:r>
      <w:r>
        <w:rPr>
          <w:rFonts w:ascii="仿宋" w:hAnsi="仿宋" w:eastAsia="仿宋"/>
          <w:sz w:val="32"/>
          <w:szCs w:val="32"/>
        </w:rPr>
        <w:t>）推免指标按照本专业人数占比来确定。</w:t>
      </w:r>
    </w:p>
    <w:p w14:paraId="144AA2B1">
      <w:pPr>
        <w:spacing w:line="560" w:lineRule="exact"/>
        <w:ind w:left="1" w:firstLine="640" w:firstLineChars="20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十一</w:t>
      </w:r>
      <w:r>
        <w:rPr>
          <w:rFonts w:ascii="仿宋" w:hAnsi="仿宋" w:eastAsia="仿宋"/>
          <w:sz w:val="32"/>
          <w:szCs w:val="32"/>
        </w:rPr>
        <w:t>）本实施细则未注明的其他类型和项目，由学院推免生遴选工作小组进行研究确定。</w:t>
      </w:r>
    </w:p>
    <w:p w14:paraId="2D844C96">
      <w:pPr>
        <w:spacing w:line="560" w:lineRule="exact"/>
        <w:ind w:left="1" w:firstLine="640" w:firstLineChars="20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十二</w:t>
      </w:r>
      <w:r>
        <w:rPr>
          <w:rFonts w:ascii="仿宋" w:hAnsi="仿宋" w:eastAsia="仿宋"/>
          <w:sz w:val="32"/>
          <w:szCs w:val="32"/>
        </w:rPr>
        <w:t>）本实施细则自公布之日起开始实施，由</w:t>
      </w:r>
      <w:r>
        <w:rPr>
          <w:rFonts w:hint="eastAsia" w:ascii="仿宋" w:hAnsi="仿宋" w:eastAsia="仿宋"/>
          <w:sz w:val="32"/>
          <w:szCs w:val="32"/>
        </w:rPr>
        <w:t>水土保持科学与工程</w:t>
      </w:r>
      <w:r>
        <w:rPr>
          <w:rFonts w:ascii="仿宋" w:hAnsi="仿宋" w:eastAsia="仿宋"/>
          <w:sz w:val="32"/>
          <w:szCs w:val="32"/>
        </w:rPr>
        <w:t>学院负责解释。</w:t>
      </w:r>
    </w:p>
    <w:p w14:paraId="34C81FCC">
      <w:pPr>
        <w:spacing w:line="560" w:lineRule="exact"/>
        <w:ind w:left="1" w:firstLine="640" w:firstLineChars="200"/>
        <w:rPr>
          <w:rFonts w:ascii="仿宋" w:hAnsi="仿宋" w:eastAsia="仿宋"/>
          <w:sz w:val="32"/>
          <w:szCs w:val="32"/>
        </w:rPr>
      </w:pPr>
    </w:p>
    <w:p w14:paraId="607E4DE7">
      <w:pPr>
        <w:spacing w:line="560" w:lineRule="exact"/>
        <w:ind w:left="1" w:firstLine="640" w:firstLineChars="200"/>
        <w:rPr>
          <w:rFonts w:ascii="仿宋" w:hAnsi="仿宋" w:eastAsia="仿宋"/>
          <w:sz w:val="32"/>
          <w:szCs w:val="32"/>
        </w:rPr>
      </w:pPr>
    </w:p>
    <w:p w14:paraId="7B9FB728">
      <w:pPr>
        <w:spacing w:line="560" w:lineRule="exact"/>
        <w:ind w:left="1" w:firstLine="640" w:firstLineChars="200"/>
        <w:jc w:val="right"/>
        <w:rPr>
          <w:rFonts w:ascii="仿宋" w:hAnsi="仿宋" w:eastAsia="仿宋"/>
          <w:sz w:val="32"/>
          <w:szCs w:val="32"/>
        </w:rPr>
      </w:pPr>
      <w:r>
        <w:rPr>
          <w:rFonts w:hint="eastAsia" w:ascii="仿宋" w:hAnsi="仿宋" w:eastAsia="仿宋"/>
          <w:sz w:val="32"/>
          <w:szCs w:val="32"/>
        </w:rPr>
        <w:t>水土保持科学与工程学院</w:t>
      </w:r>
    </w:p>
    <w:p w14:paraId="2348C65D">
      <w:pPr>
        <w:ind w:firstLine="640" w:firstLineChars="200"/>
        <w:rPr>
          <w:rFonts w:eastAsia="仿宋"/>
        </w:rPr>
      </w:pPr>
      <w:r>
        <w:rPr>
          <w:rFonts w:ascii="仿宋" w:hAnsi="仿宋" w:eastAsia="仿宋"/>
          <w:sz w:val="32"/>
          <w:szCs w:val="32"/>
        </w:rPr>
        <w:t xml:space="preserve">                     </w:t>
      </w: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202</w:t>
      </w:r>
      <w:r>
        <w:rPr>
          <w:rFonts w:ascii="仿宋" w:hAnsi="仿宋" w:eastAsia="仿宋"/>
          <w:sz w:val="32"/>
          <w:szCs w:val="32"/>
        </w:rPr>
        <w:t>6</w:t>
      </w:r>
      <w:r>
        <w:rPr>
          <w:rFonts w:hint="eastAsia" w:ascii="仿宋" w:hAnsi="仿宋" w:eastAsia="仿宋"/>
          <w:sz w:val="32"/>
          <w:szCs w:val="32"/>
        </w:rPr>
        <w:t>年9月</w:t>
      </w:r>
      <w:r>
        <w:rPr>
          <w:rFonts w:ascii="仿宋" w:hAnsi="仿宋" w:eastAsia="仿宋"/>
          <w:sz w:val="32"/>
          <w:szCs w:val="32"/>
        </w:rPr>
        <w:t>7</w:t>
      </w:r>
      <w:r>
        <w:rPr>
          <w:rFonts w:hint="eastAsia" w:ascii="仿宋" w:hAnsi="仿宋" w:eastAsia="仿宋"/>
          <w:sz w:val="32"/>
          <w:szCs w:val="32"/>
        </w:rPr>
        <w:t>日</w:t>
      </w:r>
    </w:p>
    <w:sectPr>
      <w:footerReference r:id="rId3" w:type="default"/>
      <w:pgSz w:w="11906" w:h="16838"/>
      <w:pgMar w:top="1701" w:right="1531"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7F05959-E12D-4947-8AAD-E47193DBC63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A93634C9-0632-4CA0-ACDD-453513B19FAD}"/>
  </w:font>
  <w:font w:name="方正小标宋简体">
    <w:panose1 w:val="02000000000000000000"/>
    <w:charset w:val="86"/>
    <w:family w:val="auto"/>
    <w:pitch w:val="default"/>
    <w:sig w:usb0="00000001" w:usb1="08000000" w:usb2="00000000" w:usb3="00000000" w:csb0="00040000" w:csb1="00000000"/>
    <w:embedRegular r:id="rId3" w:fontKey="{CACA64DB-7F22-4D95-BC4F-2D42D1233DA1}"/>
  </w:font>
  <w:font w:name="仿宋">
    <w:panose1 w:val="02010609060101010101"/>
    <w:charset w:val="86"/>
    <w:family w:val="modern"/>
    <w:pitch w:val="default"/>
    <w:sig w:usb0="800002BF" w:usb1="38CF7CFA" w:usb2="00000016" w:usb3="00000000" w:csb0="00040001" w:csb1="00000000"/>
    <w:embedRegular r:id="rId4" w:fontKey="{D4E78897-6A61-4D17-B13A-6036584674FE}"/>
  </w:font>
  <w:font w:name="楷体_GB2312">
    <w:altName w:val="楷体"/>
    <w:panose1 w:val="00000000000000000000"/>
    <w:charset w:val="86"/>
    <w:family w:val="modern"/>
    <w:pitch w:val="default"/>
    <w:sig w:usb0="00000000" w:usb1="00000000" w:usb2="00000010" w:usb3="00000000" w:csb0="00040000" w:csb1="00000000"/>
    <w:embedRegular r:id="rId5" w:fontKey="{541EDEAF-7F8F-4C0B-8965-DC54D9A61447}"/>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6" w:fontKey="{E0CECD05-7123-480A-AB16-4FA25189AFBF}"/>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73046446"/>
      <w:docPartObj>
        <w:docPartGallery w:val="autotext"/>
      </w:docPartObj>
    </w:sdtPr>
    <w:sdtEndPr>
      <w:rPr>
        <w:rFonts w:ascii="Times New Roman" w:hAnsi="Times New Roman" w:cs="Times New Roman"/>
        <w:sz w:val="21"/>
        <w:szCs w:val="21"/>
      </w:rPr>
    </w:sdtEndPr>
    <w:sdtContent>
      <w:p w14:paraId="72EC7AAA">
        <w:pPr>
          <w:pStyle w:val="3"/>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C1A"/>
    <w:rsid w:val="00026B80"/>
    <w:rsid w:val="0003345D"/>
    <w:rsid w:val="00077D24"/>
    <w:rsid w:val="000A0175"/>
    <w:rsid w:val="000C51B7"/>
    <w:rsid w:val="000E1F13"/>
    <w:rsid w:val="001317C4"/>
    <w:rsid w:val="00151DAB"/>
    <w:rsid w:val="0019159F"/>
    <w:rsid w:val="00216EB9"/>
    <w:rsid w:val="0024371A"/>
    <w:rsid w:val="00261B60"/>
    <w:rsid w:val="002A5F25"/>
    <w:rsid w:val="002B1E31"/>
    <w:rsid w:val="002C399C"/>
    <w:rsid w:val="00332F71"/>
    <w:rsid w:val="0034262A"/>
    <w:rsid w:val="003453DA"/>
    <w:rsid w:val="00350044"/>
    <w:rsid w:val="00354B02"/>
    <w:rsid w:val="003572DF"/>
    <w:rsid w:val="0036496E"/>
    <w:rsid w:val="00375AFC"/>
    <w:rsid w:val="003A238A"/>
    <w:rsid w:val="003C4E5B"/>
    <w:rsid w:val="003D147F"/>
    <w:rsid w:val="00413065"/>
    <w:rsid w:val="0042016F"/>
    <w:rsid w:val="00430239"/>
    <w:rsid w:val="00453540"/>
    <w:rsid w:val="004D14C1"/>
    <w:rsid w:val="004F115E"/>
    <w:rsid w:val="00553B8F"/>
    <w:rsid w:val="00576BD9"/>
    <w:rsid w:val="0059531B"/>
    <w:rsid w:val="005B5A64"/>
    <w:rsid w:val="005C4D04"/>
    <w:rsid w:val="005D1A29"/>
    <w:rsid w:val="00606695"/>
    <w:rsid w:val="006116C4"/>
    <w:rsid w:val="0062213C"/>
    <w:rsid w:val="00633C99"/>
    <w:rsid w:val="00633F40"/>
    <w:rsid w:val="00637B73"/>
    <w:rsid w:val="006549AD"/>
    <w:rsid w:val="00684D9C"/>
    <w:rsid w:val="00697770"/>
    <w:rsid w:val="006A23DA"/>
    <w:rsid w:val="006A7123"/>
    <w:rsid w:val="006B46F9"/>
    <w:rsid w:val="006E3DED"/>
    <w:rsid w:val="0073665B"/>
    <w:rsid w:val="00782D6D"/>
    <w:rsid w:val="0079660B"/>
    <w:rsid w:val="007B25ED"/>
    <w:rsid w:val="007C1028"/>
    <w:rsid w:val="008016AA"/>
    <w:rsid w:val="00810800"/>
    <w:rsid w:val="008645D1"/>
    <w:rsid w:val="008926A5"/>
    <w:rsid w:val="00892F8B"/>
    <w:rsid w:val="008C008F"/>
    <w:rsid w:val="008D6A81"/>
    <w:rsid w:val="00920DEC"/>
    <w:rsid w:val="00923E79"/>
    <w:rsid w:val="00972BAD"/>
    <w:rsid w:val="00983750"/>
    <w:rsid w:val="009A1DB7"/>
    <w:rsid w:val="009D33E3"/>
    <w:rsid w:val="009F4CE3"/>
    <w:rsid w:val="00A60633"/>
    <w:rsid w:val="00A741A1"/>
    <w:rsid w:val="00A772CA"/>
    <w:rsid w:val="00AD1A97"/>
    <w:rsid w:val="00B24DAA"/>
    <w:rsid w:val="00B63CFF"/>
    <w:rsid w:val="00BA0C1A"/>
    <w:rsid w:val="00C061CB"/>
    <w:rsid w:val="00C3318E"/>
    <w:rsid w:val="00C52E4F"/>
    <w:rsid w:val="00CB4553"/>
    <w:rsid w:val="00CD5F40"/>
    <w:rsid w:val="00D14D64"/>
    <w:rsid w:val="00D17809"/>
    <w:rsid w:val="00D205A2"/>
    <w:rsid w:val="00D60108"/>
    <w:rsid w:val="00D93755"/>
    <w:rsid w:val="00DC0320"/>
    <w:rsid w:val="00DC4673"/>
    <w:rsid w:val="00DE1926"/>
    <w:rsid w:val="00DE707F"/>
    <w:rsid w:val="00E1271D"/>
    <w:rsid w:val="00E26251"/>
    <w:rsid w:val="00E302A3"/>
    <w:rsid w:val="00E44B17"/>
    <w:rsid w:val="00E5685D"/>
    <w:rsid w:val="00EA1EE8"/>
    <w:rsid w:val="00EA7D1E"/>
    <w:rsid w:val="00F1393C"/>
    <w:rsid w:val="00F53662"/>
    <w:rsid w:val="00F87C90"/>
    <w:rsid w:val="00FB697A"/>
    <w:rsid w:val="00FC3B95"/>
    <w:rsid w:val="05447AAD"/>
    <w:rsid w:val="06477A6A"/>
    <w:rsid w:val="06F50678"/>
    <w:rsid w:val="083D07F0"/>
    <w:rsid w:val="092C1094"/>
    <w:rsid w:val="0A023AF3"/>
    <w:rsid w:val="0C0E3082"/>
    <w:rsid w:val="0D216B70"/>
    <w:rsid w:val="0DC225C3"/>
    <w:rsid w:val="0E393C6C"/>
    <w:rsid w:val="105E3B74"/>
    <w:rsid w:val="11222249"/>
    <w:rsid w:val="11935A35"/>
    <w:rsid w:val="1305729C"/>
    <w:rsid w:val="134F19F4"/>
    <w:rsid w:val="14344D48"/>
    <w:rsid w:val="144A3DEB"/>
    <w:rsid w:val="1461134D"/>
    <w:rsid w:val="1B6A6771"/>
    <w:rsid w:val="1C2C4424"/>
    <w:rsid w:val="1CD54CE6"/>
    <w:rsid w:val="1DEC38DC"/>
    <w:rsid w:val="1DF559AA"/>
    <w:rsid w:val="21B53E47"/>
    <w:rsid w:val="21E015B8"/>
    <w:rsid w:val="224B1156"/>
    <w:rsid w:val="245D1B0E"/>
    <w:rsid w:val="24E54ADD"/>
    <w:rsid w:val="26240BC4"/>
    <w:rsid w:val="270F4064"/>
    <w:rsid w:val="2D5C0645"/>
    <w:rsid w:val="2FB405A5"/>
    <w:rsid w:val="30360F78"/>
    <w:rsid w:val="30456175"/>
    <w:rsid w:val="32C00130"/>
    <w:rsid w:val="33084E30"/>
    <w:rsid w:val="34A92AE4"/>
    <w:rsid w:val="36772279"/>
    <w:rsid w:val="39FE62F8"/>
    <w:rsid w:val="3BA029CB"/>
    <w:rsid w:val="3E0C641D"/>
    <w:rsid w:val="3EA00DCD"/>
    <w:rsid w:val="3F7C275B"/>
    <w:rsid w:val="3FBC609C"/>
    <w:rsid w:val="3FC975D7"/>
    <w:rsid w:val="434067C1"/>
    <w:rsid w:val="44D845A1"/>
    <w:rsid w:val="44EF09AE"/>
    <w:rsid w:val="4668527C"/>
    <w:rsid w:val="47171721"/>
    <w:rsid w:val="47D020AA"/>
    <w:rsid w:val="49BA6358"/>
    <w:rsid w:val="4AEF2415"/>
    <w:rsid w:val="4C312198"/>
    <w:rsid w:val="50F45E6D"/>
    <w:rsid w:val="52B64DE4"/>
    <w:rsid w:val="52CD6F58"/>
    <w:rsid w:val="53AF7799"/>
    <w:rsid w:val="55EC6532"/>
    <w:rsid w:val="5628625F"/>
    <w:rsid w:val="56873E8C"/>
    <w:rsid w:val="568D20C3"/>
    <w:rsid w:val="5BBB2AB7"/>
    <w:rsid w:val="5EC17379"/>
    <w:rsid w:val="5F1B00CA"/>
    <w:rsid w:val="65A677A7"/>
    <w:rsid w:val="66EE4A51"/>
    <w:rsid w:val="6E4828DC"/>
    <w:rsid w:val="6EAF13B0"/>
    <w:rsid w:val="6EC97162"/>
    <w:rsid w:val="6FC5719A"/>
    <w:rsid w:val="705727ED"/>
    <w:rsid w:val="70BA39E9"/>
    <w:rsid w:val="71061E72"/>
    <w:rsid w:val="75917B29"/>
    <w:rsid w:val="75C54D44"/>
    <w:rsid w:val="766412A1"/>
    <w:rsid w:val="78156585"/>
    <w:rsid w:val="7A3B2499"/>
    <w:rsid w:val="7EC2700A"/>
    <w:rsid w:val="7EF33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semiHidden/>
    <w:qFormat/>
    <w:uiPriority w:val="99"/>
    <w:rPr>
      <w:sz w:val="18"/>
      <w:szCs w:val="18"/>
    </w:rPr>
  </w:style>
  <w:style w:type="character" w:customStyle="1" w:styleId="11">
    <w:name w:val="页脚 字符"/>
    <w:basedOn w:val="8"/>
    <w:link w:val="3"/>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框文本 字符"/>
    <w:basedOn w:val="8"/>
    <w:link w:val="2"/>
    <w:semiHidden/>
    <w:qFormat/>
    <w:uiPriority w:val="99"/>
    <w:rPr>
      <w:rFonts w:asciiTheme="minorHAnsi" w:hAnsiTheme="minorHAnsi" w:eastAsiaTheme="minorEastAsia" w:cstheme="minorBidi"/>
      <w:kern w:val="2"/>
      <w:sz w:val="18"/>
      <w:szCs w:val="18"/>
    </w:rPr>
  </w:style>
  <w:style w:type="character" w:customStyle="1" w:styleId="14">
    <w:name w:val="未处理的提及1"/>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3f09aa3e-75cb-4222-adfd-3167077d053f</errorID>
      <errorWord>）</errorWord>
      <group>L1_Word</group>
      <groupName>字词问题</groupName>
      <ability>L2_Typo</ability>
      <abilityName>字词错误</abilityName>
      <candidateList>
        <item>）的</item>
      </candidateList>
      <explain/>
      <paraID>236ABF49</paraID>
      <start>102</start>
      <end>104</end>
      <status>modified</status>
      <modifiedWord>）的</modifiedWord>
      <trackRevisions>false</trackRevisions>
    </reviewItem>
    <reviewItem>
      <errorID>9e2cd63f-43cb-4193-a222-52599f0e80d7</errorID>
      <errorWord>特制定</errorWord>
      <group>L1_Word</group>
      <groupName>字词问题</groupName>
      <ability>L2_Typo</ability>
      <abilityName>字词错误</abilityName>
      <candidateList>
        <item>特制订</item>
      </candidateList>
      <explain>存在发音相同字词的误用。</explain>
      <paraID>236ABF49</paraID>
      <start>130</start>
      <end>133</end>
      <status>modified</status>
      <modifiedWord>特制订</modifiedWord>
      <trackRevisions>false</trackRevisions>
    </reviewItem>
    <reviewItem>
      <errorID>385ea7d9-3820-4cd3-9b27-aaf3e5f88a48</errorID>
      <errorWord>研究生推免</errorWord>
      <group>L1_Grammar</group>
      <groupName>语法问题</groupName>
      <ability>L2_Grammar</ability>
      <abilityName>语法错误</abilityName>
      <candidateList>
        <item>研究生</item>
      </candidateList>
      <explain/>
      <paraID>1B360222</paraID>
      <start>26</start>
      <end>29</end>
      <status>modified</status>
      <modifiedWord>研究生</modifiedWord>
      <trackRevisions>false</trackRevisions>
    </reviewItem>
    <reviewItem>
      <errorID>dc17a92c-76db-4a43-b613-c1e7539da685</errorID>
      <errorWord>拥护中国共产党的领导</errorWord>
      <group>L1_Political</group>
      <groupName>政治性问题</groupName>
      <ability>L2_Keyword</ability>
      <abilityName>固定表述</abilityName>
      <candidateList>
        <item>拥护中国共产党领导</item>
      </candidateList>
      <explain>词汇“拥护中国共产党领导”在特定场景下为固定表述形式，请确认此处的“拥护中国共产党的领导”是否存在不当。</explain>
      <paraID>15C0995D</paraID>
      <start>3</start>
      <end>13</end>
      <status>unmodified</status>
      <modifiedWord/>
      <trackRevisions>false</trackRevisions>
    </reviewItem>
    <reviewItem>
      <errorID>7d44cdde-9fd6-4604-af0e-54e32a50e851</errorID>
      <errorWord>做出</errorWord>
      <group>L1_Word</group>
      <groupName>字词问题</groupName>
      <ability>L2_Typo</ability>
      <abilityName>字词错误</abilityName>
      <candidateList>
        <item>作出</item>
      </candidateList>
      <explain/>
      <paraID> A52809A</paraID>
      <start>139</start>
      <end>141</end>
      <status>modified</status>
      <modifiedWord>作出</modifiedWord>
      <trackRevisions>false</trackRevisions>
    </reviewItem>
    <reviewItem>
      <errorID>21a05a53-c198-4945-a51e-45c136442e11</errorID>
      <errorWord>评定</errorWord>
      <group>L1_Grammar</group>
      <groupName>语法问题</groupName>
      <ability>L2_Grammar</ability>
      <abilityName>语法错误</abilityName>
      <candidateList>
        <item>进行评定</item>
      </candidateList>
      <explain/>
      <paraID>4738EE26</paraID>
      <start>122</start>
      <end>126</end>
      <status>modified</status>
      <modifiedWord>进行评定</modifiedWord>
      <trackRevisions>false</trackRevisions>
    </reviewItem>
    <reviewItem>
      <errorID>7a320de7-d323-4eff-b734-7034e7c364c3</errorID>
      <errorWord>:</errorWord>
      <group>L1_Format</group>
      <groupName>格式问题</groupName>
      <ability>L2_HalfPunc_CN</ability>
      <abilityName>全半角问题</abilityName>
      <candidateList>
        <item>：</item>
      </candidateList>
      <explain>文本全半角错误。</explain>
      <paraID>727B69CB</paraID>
      <start>1</start>
      <end>2</end>
      <status>modified</status>
      <modifiedWord>：</modifiedWord>
      <trackRevisions>false</trackRevisions>
    </reviewItem>
    <reviewItem>
      <errorID>2a79ec31-4968-48e5-93ea-da00815085f9</errorID>
      <errorWord>:</errorWord>
      <group>L1_Format</group>
      <groupName>格式问题</groupName>
      <ability>L2_HalfPunc_CN</ability>
      <abilityName>全半角问题</abilityName>
      <candidateList>
        <item>：</item>
      </candidateList>
      <explain>文本全半角错误。</explain>
      <paraID> FD27EED</paraID>
      <start>1</start>
      <end>2</end>
      <status>modified</status>
      <modifiedWord>：</modifiedWord>
      <trackRevisions>false</trackRevisions>
    </reviewItem>
    <reviewItem>
      <errorID>4f2a6532-6c4e-48e5-a050-f60aeb65cee2</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7AAA3F71</paraID>
      <start>0</start>
      <end>2</end>
      <status>modified</status>
      <modifiedWord>截止</modifiedWord>
      <trackRevisions>false</trackRevisions>
    </reviewItem>
    <reviewItem>
      <errorID>537fe182-c204-4799-8474-bfda4e3f0fe6</errorID>
      <errorWord>中科院</errorWord>
      <group>L1_Knowledge</group>
      <groupName>知识性问题</groupName>
      <ability>L2_Knowledge</ability>
      <abilityName>其他知识</abilityName>
      <candidateList>
        <item>中国科学院</item>
      </candidateList>
      <explain/>
      <paraID> AAF0DB8</paraID>
      <start>1</start>
      <end>4</end>
      <status>ignored</status>
      <modifiedWord/>
      <trackRevisions>false</trackRevisions>
    </reviewItem>
    <reviewItem>
      <errorID>a0098b65-488e-4693-a8e0-570d82d4ad45</errorID>
      <errorWord>中科院</errorWord>
      <group>L1_Knowledge</group>
      <groupName>知识性问题</groupName>
      <ability>L2_Knowledge</ability>
      <abilityName>其他知识</abilityName>
      <candidateList>
        <item>中国科学院</item>
      </candidateList>
      <explain/>
      <paraID>58CCDA94</paraID>
      <start>1</start>
      <end>4</end>
      <status>ignored</status>
      <modifiedWord/>
      <trackRevisions>false</trackRevisions>
    </reviewItem>
    <reviewItem>
      <errorID>9bbed94a-a785-4647-9c4d-ca98e9fcf048</errorID>
      <errorWord>中科院</errorWord>
      <group>L1_Knowledge</group>
      <groupName>知识性问题</groupName>
      <ability>L2_Knowledge</ability>
      <abilityName>其他知识</abilityName>
      <candidateList>
        <item>中国科学院</item>
      </candidateList>
      <explain/>
      <paraID> FD93D4E</paraID>
      <start>70</start>
      <end>73</end>
      <status>ignored</status>
      <modifiedWord/>
      <trackRevisions>false</trackRevisions>
    </reviewItem>
    <reviewItem>
      <errorID>1c5b9643-69c6-4d80-af4b-04d09b7d8892</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 C3403D9</paraID>
      <start>0</start>
      <end>2</end>
      <status>modified</status>
      <modifiedWord>截止</modifiedWord>
      <trackRevisions>false</trackRevisions>
    </reviewItem>
    <reviewItem>
      <errorID>e977cd85-81fb-494e-a0f6-3d58d9e23bed</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72CE1601</paraID>
      <start>0</start>
      <end>2</end>
      <status>modified</status>
      <modifiedWord>截止</modifiedWord>
      <trackRevisions>false</trackRevisions>
    </reviewItem>
    <reviewItem>
      <errorID>a5ce7bb0-208e-4f86-8879-33a623c01dee</errorID>
      <errorWord>级</errorWord>
      <group>L1_Word</group>
      <groupName>字词问题</groupName>
      <ability>L2_Typo</ability>
      <abilityName>字词错误</abilityName>
      <candidateList>
        <item>级为</item>
      </candidateList>
      <explain/>
      <paraID> 6EEE56D</paraID>
      <start>61</start>
      <end>63</end>
      <status>modified</status>
      <modifiedWord>级为</modifiedWord>
      <trackRevisions>false</trackRevisions>
    </reviewItem>
    <reviewItem>
      <errorID>32fc2a5d-0fda-4118-a164-b258989222e4</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 79505C2</paraID>
      <start>3</start>
      <end>5</end>
      <status>modified</status>
      <modifiedWord>截止</modifiedWord>
      <trackRevisions>false</trackRevisions>
    </reviewItem>
    <reviewItem>
      <errorID>aef86757-09c5-4237-a56c-14d9f9b84baa</errorID>
      <errorWord>日前</errorWord>
      <group>L1_Word</group>
      <groupName>字词问题</groupName>
      <ability>L2_Typo</ability>
      <abilityName>字词错误</abilityName>
      <candidateList>
        <item>日</item>
      </candidateList>
      <explain/>
      <paraID> 79505C2</paraID>
      <start>11</start>
      <end>12</end>
      <status>modified</status>
      <modifiedWord>日</modifiedWord>
      <trackRevisions>false</trackRevisions>
    </reviewItem>
    <reviewItem>
      <errorID>2064ffa8-754d-42c2-affc-1fe626ef3153</errorID>
      <errorWord>考查确定</errorWord>
      <group>L1_Grammar</group>
      <groupName>语法问题</groupName>
      <ability>L2_Grammar</ability>
      <abilityName>语法错误</abilityName>
      <candidateList>
        <item>考查</item>
      </candidateList>
      <explain/>
      <paraID>326B50C2</paraID>
      <start>70</start>
      <end>72</end>
      <status>modified</status>
      <modifiedWord>考查</modifiedWord>
      <trackRevisions>false</trackRevisions>
    </reviewItem>
    <reviewItem>
      <errorID>17e73af6-78df-492d-9de3-375f07afd895</errorID>
      <errorWord>同等条件优先</errorWord>
      <group>L1_Grammar</group>
      <groupName>语法问题</groupName>
      <ability>L2_Grammar</ability>
      <abilityName>语法错误</abilityName>
      <candidateList>
        <item>在同等条件下优先</item>
      </candidateList>
      <explain/>
      <paraID> 7C4EC69</paraID>
      <start>32</start>
      <end>40</end>
      <status>modified</status>
      <modifiedWord>在同等条件下优先</modifiedWord>
      <trackRevisions>false</trackRevisions>
    </reviewItem>
    <reviewItem>
      <errorID>34c8994b-24af-48c1-b370-c94fca754583</errorID>
      <errorWord>小于</errorWord>
      <group>L1_Word</group>
      <groupName>字词问题</groupName>
      <ability>L2_Typo</ability>
      <abilityName>字词错误</abilityName>
      <candidateList>
        <item>低于</item>
      </candidateList>
      <explain/>
      <paraID>54C79D8D</paraID>
      <start>18</start>
      <end>20</end>
      <status>modified</status>
      <modifiedWord>低于</modifiedWord>
      <trackRevisions>false</trackRevisions>
    </reviewItem>
    <reviewItem>
      <errorID>887b8097-3edc-4657-8e07-92d8c706665b</errorID>
      <errorWord>(八)</errorWord>
      <group>L1_Punc</group>
      <groupName>标点问题</groupName>
      <ability>L2_Punc_CN</ability>
      <abilityName>标点符号问题</abilityName>
      <candidateList>
        <item>（八）</item>
      </candidateList>
      <explain/>
      <paraID>458A64EC</paraID>
      <start>0</start>
      <end>3</end>
      <status>modified</status>
      <modifiedWord>（八）</modifiedWord>
      <trackRevisions>false</trackRevisions>
    </reviewItem>
    <reviewItem>
      <errorID>68f02070-e0a1-4b5a-9021-ec7ed8e87303</errorID>
      <errorWord>(</errorWord>
      <group>L1_Punc</group>
      <groupName>标点问题</groupName>
      <ability>L2_Punc_CN</ability>
      <abilityName>标点符号问题</abilityName>
      <candidateList>
        <item>（</item>
      </candidateList>
      <explain/>
      <paraID>458A64EC</paraID>
      <start>26</start>
      <end>27</end>
      <status>modified</status>
      <modifiedWord>（</modifiedWord>
      <trackRevisions>false</trackRevisions>
    </reviewItem>
    <reviewItem>
      <errorID>618f4e97-1fa2-42d2-b26b-f2d74708c9af</errorID>
      <errorWord>[2020]106号</errorWord>
      <group>L1_Knowledge</group>
      <groupName>知识性问题</groupName>
      <ability>L2_Knowledge</ability>
      <abilityName>其他知识</abilityName>
      <candidateList>
        <item>〔2020〕106号</item>
      </candidateList>
      <explain>发文字号格式错误。</explain>
      <paraID>458A64EC</paraID>
      <start>30</start>
      <end>40</end>
      <status>modified</status>
      <modifiedWord>〔2020〕106号</modifiedWord>
      <trackRevisions>false</trackRevisions>
    </reviewItem>
    <reviewItem>
      <errorID>ee690164-c2cd-4847-971c-1628aa72c99e</errorID>
      <errorWord>)</errorWord>
      <group>L1_Punc</group>
      <groupName>标点问题</groupName>
      <ability>L2_Punc_CN</ability>
      <abilityName>标点符号问题</abilityName>
      <candidateList>
        <item>）</item>
      </candidateList>
      <explain/>
      <paraID>458A64EC</paraID>
      <start>40</start>
      <end>41</end>
      <status>modified</status>
      <modifiedWord>）</modifiedWord>
      <trackRevisions>false</trackRevisions>
    </reviewItem>
    <reviewItem>
      <errorID>75140cf6-b08a-42f9-b868-de3d4bc52ee0</errorID>
      <errorWord>，</errorWord>
      <group>L1_Punc</group>
      <groupName>标点问题</groupName>
      <ability>L2_Punc_CN</ability>
      <abilityName>标点符号问题</abilityName>
      <candidateList>
        <item>。</item>
      </candidateList>
      <explain/>
      <paraID>458A64EC</paraID>
      <start>53</start>
      <end>54</end>
      <status>modified</status>
      <modifiedWord>。</modifiedWord>
      <trackRevisions>false</trackRevisions>
    </reviewItem>
    <reviewItem>
      <errorID>4ddbe2ee-02a8-4d9f-bab9-a0028c5b67a1</errorID>
      <errorWord>应</errorWord>
      <group>L1_Punc</group>
      <groupName>标点问题</groupName>
      <ability>L2_Punc_CN</ability>
      <abilityName>标点符号问题</abilityName>
      <candidateList>
        <item>，应</item>
      </candidateList>
      <explain/>
      <paraID>458A64EC</paraID>
      <start>86</start>
      <end>88</end>
      <status>modified</status>
      <modifiedWord>，应</modifiedWord>
      <trackRevisions>false</trackRevisions>
    </reviewItem>
    <reviewItem>
      <errorID>dd87f36a-41d4-4b62-8b0e-1a0e615ad6d3</errorID>
      <errorWord>，</errorWord>
      <group>L1_Punc</group>
      <groupName>标点问题</groupName>
      <ability>L2_Punc_CN</ability>
      <abilityName>标点符号问题</abilityName>
      <candidateList>
        <item>；</item>
      </candidateList>
      <explain/>
      <paraID>458A64EC</paraID>
      <start>94</start>
      <end>95</end>
      <status>modified</status>
      <modifiedWord>；</modifiedWord>
      <trackRevisions>false</trackRevisions>
    </reviewItem>
    <reviewItem>
      <errorID>bd0852d5-63c2-4ded-88f4-66cd5e12db81</errorID>
      <errorWord>要</errorWord>
      <group>L1_Punc</group>
      <groupName>标点问题</groupName>
      <ability>L2_Punc_CN</ability>
      <abilityName>标点符号问题</abilityName>
      <candidateList>
        <item>，要</item>
      </candidateList>
      <explain/>
      <paraID>458A64EC</paraID>
      <start>111</start>
      <end>113</end>
      <status>modified</status>
      <modifiedWord>，要</modifiedWord>
      <trackRevisions>false</trackRevisions>
    </reviewItem>
    <reviewItem>
      <errorID>cdd282d2-cf75-48e8-9f58-94e9eedf4ac1</errorID>
      <errorWord>，</errorWord>
      <group>L1_Punc</group>
      <groupName>标点问题</groupName>
      <ability>L2_Punc_CN</ability>
      <abilityName>标点符号问题</abilityName>
      <candidateList>
        <item>；</item>
      </candidateList>
      <explain/>
      <paraID>458A64EC</paraID>
      <start>178</start>
      <end>179</end>
      <status>modified</status>
      <modifiedWord>；</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63479-bea1-4628-9493-7dd94257ea81}">
  <ds:schemaRefs/>
</ds:datastoreItem>
</file>

<file path=customXml/itemProps2.xml><?xml version="1.0" encoding="utf-8"?>
<ds:datastoreItem xmlns:ds="http://schemas.openxmlformats.org/officeDocument/2006/customXml" ds:itemID="{5493892F-16D9-440C-8731-76CE5531199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4243</Words>
  <Characters>4479</Characters>
  <Lines>33</Lines>
  <Paragraphs>9</Paragraphs>
  <TotalTime>16</TotalTime>
  <ScaleCrop>false</ScaleCrop>
  <LinksUpToDate>false</LinksUpToDate>
  <CharactersWithSpaces>4572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2025-09-15T03:59:00Z</dcterms:created>
  <dc:creator>Tencent</dc:creator>
  <cp:lastModifiedBy>Tommy·W</cp:lastModifiedBy>
  <cp:lastPrinted>2026-09-06T23:51:00Z</cp:lastPrinted>
  <dcterms:modified xsi:type="dcterms:W3CDTF">2026-09-08T03:29:06Z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AF121B9FBB974925AB31674C0CCAFF7C</vt:lpwstr>
  </property>
  <property fmtid="{D5CDD505-2E9C-101B-9397-08002B2CF9AE}" pid="4" name="KSOTemplateDocerSaveRecord">
    <vt:lpwstr>eyJoZGlkIjoiNTI2MDBiZTMyNDIzYzVhMmI0ZWQ3NzE1MmE5MzQ0ZGEiLCJ1c2VySWQiOiI0MjMxMzgyMDMifQ==</vt:lpwstr>
  </property>
</Properties>
</file>