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E095B" w14:textId="77777777" w:rsidR="00F52E88" w:rsidRPr="00807CBB" w:rsidRDefault="00807CBB">
      <w:pPr>
        <w:jc w:val="center"/>
        <w:rPr>
          <w:rFonts w:ascii="仿宋_GB2312" w:eastAsia="仿宋_GB2312" w:hAnsi="仿宋_GB2312" w:cs="仿宋_GB2312"/>
          <w:b/>
          <w:color w:val="000000" w:themeColor="text1"/>
          <w:sz w:val="36"/>
          <w:szCs w:val="36"/>
        </w:rPr>
      </w:pPr>
      <w:r w:rsidRPr="00807CBB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36"/>
        </w:rPr>
        <w:t>2024年度自然资源科学技术奖提名成果公示</w:t>
      </w:r>
    </w:p>
    <w:p w14:paraId="1C5DB79A" w14:textId="77777777" w:rsidR="00BE6121" w:rsidRDefault="00BE6121">
      <w:pPr>
        <w:ind w:firstLineChars="200" w:firstLine="562"/>
        <w:rPr>
          <w:rFonts w:ascii="黑体" w:eastAsia="黑体" w:hAnsi="黑体" w:cs="仿宋_GB2312"/>
          <w:b/>
          <w:bCs/>
          <w:color w:val="000000" w:themeColor="text1"/>
          <w:sz w:val="28"/>
          <w:szCs w:val="28"/>
        </w:rPr>
      </w:pPr>
    </w:p>
    <w:p w14:paraId="1089A461" w14:textId="25933B7C" w:rsidR="00F52E88" w:rsidRDefault="00807CBB">
      <w:pPr>
        <w:ind w:firstLineChars="200" w:firstLine="562"/>
        <w:rPr>
          <w:rFonts w:ascii="黑体" w:eastAsia="黑体" w:hAnsi="黑体" w:cs="仿宋_GB2312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sz w:val="28"/>
          <w:szCs w:val="28"/>
        </w:rPr>
        <w:t>一</w:t>
      </w:r>
      <w:r>
        <w:rPr>
          <w:rFonts w:ascii="黑体" w:eastAsia="黑体" w:hAnsi="黑体" w:cs="仿宋_GB2312"/>
          <w:b/>
          <w:bCs/>
          <w:color w:val="000000" w:themeColor="text1"/>
          <w:sz w:val="28"/>
          <w:szCs w:val="28"/>
        </w:rPr>
        <w:t>、</w:t>
      </w:r>
      <w:r>
        <w:rPr>
          <w:rFonts w:ascii="黑体" w:eastAsia="黑体" w:hAnsi="黑体" w:cs="仿宋_GB2312" w:hint="eastAsia"/>
          <w:b/>
          <w:bCs/>
          <w:color w:val="000000" w:themeColor="text1"/>
          <w:sz w:val="28"/>
          <w:szCs w:val="28"/>
        </w:rPr>
        <w:t>项目基本情况</w:t>
      </w:r>
    </w:p>
    <w:p w14:paraId="0B73D92F" w14:textId="77777777" w:rsidR="00F52E88" w:rsidRDefault="00807CBB">
      <w:pPr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项目名称：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黄土丘陵沟壑区韧性乡村空间建设的关键技术与集成应用</w:t>
      </w:r>
    </w:p>
    <w:p w14:paraId="446BD100" w14:textId="77E85BF5" w:rsidR="00F52E88" w:rsidRDefault="00807CBB" w:rsidP="00172248">
      <w:pPr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项目人员：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魏书威、田达睿、卢君君、卫新东、焦菊英、陈恺悦、  韦娜、</w:t>
      </w:r>
      <w:r w:rsidR="0017224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王伟、张天琪、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穆芳芳</w:t>
      </w:r>
      <w:r w:rsidR="0017224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姜涛、</w:t>
      </w:r>
      <w:r w:rsidR="0017224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刘芳芳、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钟果、邹元、张皓佳</w:t>
      </w:r>
    </w:p>
    <w:p w14:paraId="0E71CA90" w14:textId="389A6D3D" w:rsidR="00F52E88" w:rsidRDefault="00807CBB">
      <w:pPr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完成单位：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西安建筑科技大学、西北农林科技大学、长安大学、丝路华建</w:t>
      </w:r>
      <w:r w:rsidR="0017224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（西安）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工程</w:t>
      </w:r>
      <w:r w:rsidR="0017224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设计</w:t>
      </w:r>
      <w:r w:rsidR="00172248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咨询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有限公司</w:t>
      </w:r>
    </w:p>
    <w:p w14:paraId="765F9F89" w14:textId="77777777" w:rsidR="00F52E88" w:rsidRDefault="00807CBB">
      <w:pPr>
        <w:ind w:firstLineChars="200" w:firstLine="562"/>
        <w:rPr>
          <w:rFonts w:ascii="黑体" w:eastAsia="黑体" w:hAnsi="黑体" w:cs="仿宋_GB2312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sz w:val="28"/>
          <w:szCs w:val="28"/>
        </w:rPr>
        <w:t>二</w:t>
      </w:r>
      <w:r>
        <w:rPr>
          <w:rFonts w:ascii="黑体" w:eastAsia="黑体" w:hAnsi="黑体" w:cs="仿宋_GB2312"/>
          <w:b/>
          <w:bCs/>
          <w:color w:val="000000" w:themeColor="text1"/>
          <w:sz w:val="28"/>
          <w:szCs w:val="28"/>
        </w:rPr>
        <w:t>、</w:t>
      </w:r>
      <w:r>
        <w:rPr>
          <w:rFonts w:ascii="黑体" w:eastAsia="黑体" w:hAnsi="黑体" w:cs="仿宋_GB2312" w:hint="eastAsia"/>
          <w:b/>
          <w:bCs/>
          <w:color w:val="000000" w:themeColor="text1"/>
          <w:sz w:val="28"/>
          <w:szCs w:val="28"/>
        </w:rPr>
        <w:t>推荐意见</w:t>
      </w:r>
    </w:p>
    <w:p w14:paraId="3D1DC597" w14:textId="439226AF" w:rsidR="0094440E" w:rsidRDefault="00807CBB" w:rsidP="0094440E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“黄土丘陵沟壑区韧性乡村空间建设的关键技术与集成应用”项目紧盯国家乡村振兴战略的重大需求，依托</w:t>
      </w:r>
      <w:r w:rsidR="00DA769D" w:rsidRPr="0057419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土地</w:t>
      </w:r>
      <w:r w:rsidR="00DA769D" w:rsidRPr="005741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建设</w:t>
      </w:r>
      <w:r w:rsidR="00DA769D" w:rsidRPr="0057419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大</w:t>
      </w:r>
      <w:r w:rsidRPr="0057419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学科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交叉渗透的独特优势，针对黄土丘陵沟壑区乡村韧性建设所面临的水土保持</w:t>
      </w:r>
      <w:r w:rsidR="0094440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、空间</w:t>
      </w:r>
      <w:r w:rsidR="000741B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赓续</w:t>
      </w:r>
      <w:r w:rsidR="0094440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、村庄</w:t>
      </w:r>
      <w:proofErr w:type="gramStart"/>
      <w:r w:rsidR="000741BC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防灾</w:t>
      </w:r>
      <w:r w:rsidR="0094440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难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等</w:t>
      </w:r>
      <w:r w:rsidR="0057419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主要</w:t>
      </w:r>
      <w:r w:rsidR="005741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困境，</w:t>
      </w:r>
      <w:r w:rsidR="0057419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立足</w:t>
      </w:r>
      <w:r w:rsidR="0094440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该区域</w:t>
      </w:r>
      <w:r w:rsidR="0057419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生态环境变化特征、乡村聚落空间特质、灾害</w:t>
      </w:r>
      <w:r w:rsidR="005741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防治</w:t>
      </w:r>
      <w:r w:rsidR="0057419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阶段特性</w:t>
      </w:r>
      <w:r w:rsidR="0057419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等</w:t>
      </w:r>
      <w:r w:rsidR="0057419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</w:t>
      </w:r>
      <w:r w:rsidR="0094440E" w:rsidRPr="00630AFA">
        <w:rPr>
          <w:rFonts w:ascii="仿宋" w:eastAsia="仿宋" w:hAnsi="仿宋" w:cs="Segoe UI" w:hint="eastAsia"/>
          <w:color w:val="444444"/>
          <w:sz w:val="30"/>
          <w:szCs w:val="30"/>
          <w:shd w:val="clear" w:color="auto" w:fill="FFFFFF"/>
        </w:rPr>
        <w:t>创建了“径流阻缓</w:t>
      </w:r>
      <w:r w:rsidR="0094440E" w:rsidRPr="00630AFA">
        <w:rPr>
          <w:rFonts w:ascii="仿宋" w:eastAsia="仿宋" w:hAnsi="仿宋" w:cs="Segoe UI"/>
          <w:color w:val="444444"/>
          <w:sz w:val="30"/>
          <w:szCs w:val="30"/>
          <w:shd w:val="clear" w:color="auto" w:fill="FFFFFF"/>
        </w:rPr>
        <w:t>+</w:t>
      </w:r>
      <w:r w:rsidR="0094440E" w:rsidRPr="00630AFA">
        <w:rPr>
          <w:rFonts w:ascii="仿宋" w:eastAsia="仿宋" w:hAnsi="仿宋" w:cs="Segoe UI" w:hint="eastAsia"/>
          <w:color w:val="444444"/>
          <w:sz w:val="30"/>
          <w:szCs w:val="30"/>
          <w:shd w:val="clear" w:color="auto" w:fill="FFFFFF"/>
        </w:rPr>
        <w:t>单元设防</w:t>
      </w:r>
      <w:r w:rsidR="0094440E" w:rsidRPr="00630AFA">
        <w:rPr>
          <w:rFonts w:ascii="仿宋" w:eastAsia="仿宋" w:hAnsi="仿宋" w:cs="Segoe UI"/>
          <w:color w:val="444444"/>
          <w:sz w:val="30"/>
          <w:szCs w:val="30"/>
          <w:shd w:val="clear" w:color="auto" w:fill="FFFFFF"/>
        </w:rPr>
        <w:t>+</w:t>
      </w:r>
      <w:r w:rsidR="0094440E" w:rsidRPr="00630AFA">
        <w:rPr>
          <w:rFonts w:ascii="仿宋" w:eastAsia="仿宋" w:hAnsi="仿宋" w:cs="Segoe UI" w:hint="eastAsia"/>
          <w:color w:val="444444"/>
          <w:sz w:val="30"/>
          <w:szCs w:val="30"/>
          <w:shd w:val="clear" w:color="auto" w:fill="FFFFFF"/>
        </w:rPr>
        <w:t>肌理拟合”</w:t>
      </w:r>
      <w:r w:rsidR="0094440E">
        <w:rPr>
          <w:rFonts w:ascii="仿宋" w:eastAsia="仿宋" w:hAnsi="仿宋" w:cs="Segoe UI" w:hint="eastAsia"/>
          <w:color w:val="444444"/>
          <w:sz w:val="30"/>
          <w:szCs w:val="30"/>
          <w:shd w:val="clear" w:color="auto" w:fill="FFFFFF"/>
        </w:rPr>
        <w:t>三位一体的</w:t>
      </w:r>
      <w:r w:rsidR="0094440E" w:rsidRPr="00630AFA">
        <w:rPr>
          <w:rFonts w:ascii="仿宋" w:eastAsia="仿宋" w:hAnsi="仿宋" w:cs="Segoe UI" w:hint="eastAsia"/>
          <w:color w:val="444444"/>
          <w:sz w:val="30"/>
          <w:szCs w:val="30"/>
          <w:shd w:val="clear" w:color="auto" w:fill="FFFFFF"/>
        </w:rPr>
        <w:t>韧性乡村空间营建技术体系，</w:t>
      </w:r>
      <w:r w:rsidR="0094440E">
        <w:rPr>
          <w:rFonts w:ascii="仿宋" w:eastAsia="仿宋" w:hAnsi="仿宋" w:cs="Segoe UI" w:hint="eastAsia"/>
          <w:color w:val="444444"/>
          <w:sz w:val="30"/>
          <w:szCs w:val="30"/>
          <w:shd w:val="clear" w:color="auto" w:fill="FFFFFF"/>
        </w:rPr>
        <w:t>建构起以“微弱扰动、有机重构、嵌套提优”为核心的“3O”韧性乡村营建理论，</w:t>
      </w:r>
      <w:r w:rsidR="0094440E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突破了行业技术瓶颈，取得了显著社会经济及生态效益，具有广阔应用前景和重要推广价值。</w:t>
      </w:r>
    </w:p>
    <w:p w14:paraId="2DAA8CFC" w14:textId="1689CEA4" w:rsidR="0094440E" w:rsidRDefault="0094440E" w:rsidP="0094440E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该项目成果材料齐全、规范，无知识产权纠纷，人员排序无争议，符合2024年度自然资源科学技术奖推荐条件。 推荐该项目参评一等奖或二等奖。</w:t>
      </w:r>
    </w:p>
    <w:p w14:paraId="29ECEEA2" w14:textId="31C9947D" w:rsidR="00F52E88" w:rsidRDefault="00807CBB">
      <w:pPr>
        <w:ind w:firstLineChars="200" w:firstLine="562"/>
        <w:rPr>
          <w:rFonts w:ascii="黑体" w:eastAsia="黑体" w:hAnsi="黑体" w:cs="仿宋_GB2312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sz w:val="28"/>
          <w:szCs w:val="28"/>
        </w:rPr>
        <w:lastRenderedPageBreak/>
        <w:t>三</w:t>
      </w:r>
      <w:r>
        <w:rPr>
          <w:rFonts w:ascii="黑体" w:eastAsia="黑体" w:hAnsi="黑体" w:cs="仿宋_GB2312"/>
          <w:b/>
          <w:bCs/>
          <w:color w:val="000000" w:themeColor="text1"/>
          <w:sz w:val="28"/>
          <w:szCs w:val="28"/>
        </w:rPr>
        <w:t>、</w:t>
      </w:r>
      <w:r w:rsidR="00BE6121">
        <w:rPr>
          <w:rFonts w:ascii="黑体" w:eastAsia="黑体" w:hAnsi="黑体" w:cs="仿宋_GB2312" w:hint="eastAsia"/>
          <w:b/>
          <w:bCs/>
          <w:color w:val="000000" w:themeColor="text1"/>
          <w:sz w:val="28"/>
          <w:szCs w:val="28"/>
        </w:rPr>
        <w:t>成果</w:t>
      </w:r>
      <w:r>
        <w:rPr>
          <w:rFonts w:ascii="黑体" w:eastAsia="黑体" w:hAnsi="黑体" w:cs="仿宋_GB2312" w:hint="eastAsia"/>
          <w:b/>
          <w:bCs/>
          <w:color w:val="000000" w:themeColor="text1"/>
          <w:sz w:val="28"/>
          <w:szCs w:val="28"/>
        </w:rPr>
        <w:t>简介</w:t>
      </w:r>
    </w:p>
    <w:p w14:paraId="28BC8F93" w14:textId="77777777" w:rsidR="00792A49" w:rsidRDefault="00792A49">
      <w:pPr>
        <w:ind w:firstLineChars="200" w:firstLine="560"/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黄土丘陵沟壑区</w:t>
      </w:r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是我国水土流失最严重的地区，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其生态环境脆弱、人口</w:t>
      </w:r>
      <w:r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锐减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及</w:t>
      </w:r>
      <w:r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老龄化严重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，</w:t>
      </w:r>
      <w:proofErr w:type="gramStart"/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是习近</w:t>
      </w:r>
      <w:proofErr w:type="gramEnd"/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平总书记</w:t>
      </w:r>
      <w:hyperlink r:id="rId5" w:tgtFrame="_blank" w:history="1">
        <w:r w:rsidRPr="00792A49">
          <w:rPr>
            <w:rFonts w:ascii="仿宋_GB2312" w:eastAsia="仿宋_GB2312"/>
            <w:color w:val="000000" w:themeColor="text1"/>
            <w:kern w:val="0"/>
            <w:sz w:val="28"/>
            <w:szCs w:val="28"/>
            <w:lang w:val="zh-CN"/>
          </w:rPr>
          <w:t>念兹在兹</w:t>
        </w:r>
      </w:hyperlink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的生态安全及乡村</w:t>
      </w:r>
      <w:r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振兴重点区域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。</w:t>
      </w:r>
    </w:p>
    <w:p w14:paraId="6185C877" w14:textId="64DCCA80" w:rsidR="00F52E88" w:rsidRDefault="00792A49">
      <w:pPr>
        <w:ind w:firstLineChars="200" w:firstLine="600"/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</w:pPr>
      <w:r>
        <w:rPr>
          <w:rFonts w:ascii="仿宋" w:eastAsia="仿宋" w:hAnsi="仿宋" w:cs="Segoe UI" w:hint="eastAsia"/>
          <w:color w:val="444444"/>
          <w:sz w:val="30"/>
          <w:szCs w:val="30"/>
          <w:shd w:val="clear" w:color="auto" w:fill="FFFFFF"/>
        </w:rPr>
        <w:t>针对黄土丘陵沟壑区所面临“降水北移导致水土流失加重、人口锐减导致生命线调控失效、乡村衰退导致文脉断续破碎”等三重新挑战，课题组自2015年</w:t>
      </w:r>
      <w:r>
        <w:rPr>
          <w:rFonts w:ascii="仿宋" w:eastAsia="仿宋" w:hAnsi="仿宋" w:cs="Segoe UI"/>
          <w:color w:val="444444"/>
          <w:sz w:val="30"/>
          <w:szCs w:val="30"/>
          <w:shd w:val="clear" w:color="auto" w:fill="FFFFFF"/>
        </w:rPr>
        <w:t>起，</w:t>
      </w:r>
      <w:r w:rsidR="008D6073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深入</w:t>
      </w:r>
      <w:r w:rsidR="008D6073"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系统</w:t>
      </w:r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开展</w:t>
      </w:r>
      <w:r w:rsidR="008D6073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该区域</w:t>
      </w:r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韧性乡村规划建设</w:t>
      </w:r>
      <w:r w:rsidR="00FB640E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的</w:t>
      </w:r>
      <w:r w:rsidR="00FB640E"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技术创新与</w:t>
      </w:r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实践探索，</w:t>
      </w:r>
      <w:r w:rsidR="008D6073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形成</w:t>
      </w:r>
      <w:r w:rsidR="008D6073"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适地化的</w:t>
      </w:r>
      <w:r w:rsidR="008D6073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人地空间系统营建技术</w:t>
      </w:r>
      <w:r w:rsidR="008D6073"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集成</w:t>
      </w:r>
      <w:r w:rsidR="008D6073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，是有效</w:t>
      </w:r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推进</w:t>
      </w:r>
      <w:r w:rsidR="008D6073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该地区</w:t>
      </w:r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乡村振兴的重要抓手。</w:t>
      </w:r>
    </w:p>
    <w:p w14:paraId="0C0AD408" w14:textId="05A26320" w:rsidR="00792A49" w:rsidRPr="00792A49" w:rsidRDefault="00792A49" w:rsidP="00792A49">
      <w:pPr>
        <w:ind w:firstLineChars="200" w:firstLine="560"/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</w:pP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具体</w:t>
      </w:r>
      <w:r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而言，</w:t>
      </w:r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针对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该地</w:t>
      </w:r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区乡村韧性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空间</w:t>
      </w:r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建设所面临的水土保持</w:t>
      </w:r>
      <w:proofErr w:type="gramStart"/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蓄排设施</w:t>
      </w:r>
      <w:proofErr w:type="gramEnd"/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布局不协调、乡村空间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赓续</w:t>
      </w:r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修复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技术</w:t>
      </w:r>
      <w:r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不适用</w:t>
      </w:r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、村庄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防灾减灾</w:t>
      </w:r>
      <w:r w:rsidR="00807CBB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预警应对能力弱等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现实</w:t>
      </w:r>
      <w:r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困境，</w:t>
      </w:r>
      <w:r w:rsidRPr="00792A49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形成基于韧性国土的</w:t>
      </w:r>
      <w:proofErr w:type="gramStart"/>
      <w:r w:rsidRPr="00792A49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蓄排设施</w:t>
      </w:r>
      <w:proofErr w:type="gramEnd"/>
      <w:r w:rsidRPr="00792A49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布局优化技术、基于韧性村落的穿透</w:t>
      </w:r>
      <w:proofErr w:type="gramStart"/>
      <w:r w:rsidRPr="00792A49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式规划</w:t>
      </w:r>
      <w:proofErr w:type="gramEnd"/>
      <w:r w:rsidRPr="00792A49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编制技术、基于韧性防灾的</w:t>
      </w:r>
      <w:r w:rsidRPr="00792A49"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设施布防</w:t>
      </w:r>
      <w:proofErr w:type="gramStart"/>
      <w:r w:rsidRPr="00792A49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空间优</w:t>
      </w:r>
      <w:r w:rsidRPr="00792A49"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配</w:t>
      </w:r>
      <w:r w:rsidRPr="00792A49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技术</w:t>
      </w:r>
      <w:proofErr w:type="gramEnd"/>
      <w:r w:rsidRPr="00792A49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，破解了“</w:t>
      </w:r>
      <w:r w:rsidR="00BF443F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坡面</w:t>
      </w:r>
      <w:r w:rsidRPr="00792A49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径流调控阻缓、文脉空间有机修复、应急防灾系统重构”等空间规划技术难题，</w:t>
      </w:r>
      <w:r w:rsidRPr="00792A49"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实现了</w:t>
      </w:r>
      <w:r w:rsidRPr="00792A49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“望得见黄土青绿、看得见历史文脉，留得住返乡人口”的乡村振兴图景。</w:t>
      </w:r>
    </w:p>
    <w:p w14:paraId="13E3B387" w14:textId="026C2EA7" w:rsidR="00F52E88" w:rsidRDefault="00807CBB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本项目成果被诸多单位采纳，</w:t>
      </w:r>
      <w:r w:rsidR="006F167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在县级国土空间规划、县域乡村布局规划、农业农村现代化规划、传统村落保护与发展规划、实用性村庄规划、和美乡村建设、村镇建设管理等方面获得应用，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为促进黄土高原地区乡村经济社会发展</w:t>
      </w:r>
      <w:r w:rsidR="006F1670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及</w:t>
      </w:r>
      <w:r w:rsidR="006F1670"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生态文明建设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、村落文化保护</w:t>
      </w:r>
      <w:r w:rsidR="006F1670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及</w:t>
      </w:r>
      <w:r w:rsidR="006F1670"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空间赓续、</w:t>
      </w:r>
      <w:r w:rsidR="006F1670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村庄</w:t>
      </w:r>
      <w:r w:rsidR="006F1670"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综合防灾治理及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乡村全面振兴等</w:t>
      </w:r>
      <w:r w:rsidR="006F1670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，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提供了科学技术支撑，取得了良好的经济社会效益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216B0AA7" w14:textId="77777777" w:rsidR="00F52E88" w:rsidRDefault="00807CBB">
      <w:pPr>
        <w:ind w:firstLineChars="200" w:firstLine="562"/>
        <w:rPr>
          <w:rFonts w:ascii="黑体" w:eastAsia="黑体" w:hAnsi="黑体" w:cs="仿宋_GB2312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sz w:val="28"/>
          <w:szCs w:val="28"/>
        </w:rPr>
        <w:lastRenderedPageBreak/>
        <w:t>四</w:t>
      </w:r>
      <w:r>
        <w:rPr>
          <w:rFonts w:ascii="黑体" w:eastAsia="黑体" w:hAnsi="黑体" w:cs="仿宋_GB2312"/>
          <w:b/>
          <w:bCs/>
          <w:color w:val="000000" w:themeColor="text1"/>
          <w:sz w:val="28"/>
          <w:szCs w:val="28"/>
        </w:rPr>
        <w:t>、客观评价</w:t>
      </w:r>
    </w:p>
    <w:p w14:paraId="5942A0AD" w14:textId="1C878D02" w:rsidR="00792A49" w:rsidRDefault="00792A49" w:rsidP="00792A49">
      <w:pPr>
        <w:ind w:firstLineChars="200" w:firstLine="560"/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</w:pPr>
      <w:bookmarkStart w:id="0" w:name="_Hlk140858472"/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本成果具有土地资源管理、城乡</w:t>
      </w:r>
      <w:r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规划学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、建筑学、地理信息工程、水土保持与荒漠化防治以及</w:t>
      </w:r>
      <w:r>
        <w:rPr>
          <w:rFonts w:ascii="仿宋_GB2312" w:eastAsia="仿宋_GB2312"/>
          <w:color w:val="000000" w:themeColor="text1"/>
          <w:kern w:val="0"/>
          <w:sz w:val="28"/>
          <w:szCs w:val="28"/>
          <w:lang w:val="zh-CN"/>
        </w:rPr>
        <w:t>土壤学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等多学科交叉性质，</w:t>
      </w:r>
      <w:r w:rsidRPr="00FB640E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在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多个国家自然科学基金、陕西省自然科学基础研究计划及</w:t>
      </w:r>
      <w:r w:rsidR="006F1670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系列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政府委托</w:t>
      </w:r>
      <w:r w:rsidR="006F1670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工程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项目的共同</w:t>
      </w:r>
      <w:r w:rsidR="006F1670"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资助</w:t>
      </w:r>
      <w:r>
        <w:rPr>
          <w:rFonts w:ascii="仿宋_GB2312" w:eastAsia="仿宋_GB2312" w:hint="eastAsia"/>
          <w:color w:val="000000" w:themeColor="text1"/>
          <w:kern w:val="0"/>
          <w:sz w:val="28"/>
          <w:szCs w:val="28"/>
          <w:lang w:val="zh-CN"/>
        </w:rPr>
        <w:t>下完成。</w:t>
      </w:r>
    </w:p>
    <w:p w14:paraId="0973B91C" w14:textId="2409B634" w:rsidR="00F52E88" w:rsidRDefault="00807CBB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1.与国内外同类技术比较</w:t>
      </w:r>
      <w:r w:rsidR="006F167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的</w:t>
      </w:r>
      <w:r w:rsidR="006F1670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技术优势</w:t>
      </w:r>
    </w:p>
    <w:p w14:paraId="6E123CB5" w14:textId="5F2B6EB5" w:rsidR="00F52E88" w:rsidRDefault="00807CBB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现有关于黄土丘陵沟壑区韧性乡村</w:t>
      </w:r>
      <w:r w:rsidR="008D607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建设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研究多以理念化主观定性研究为主，缺乏</w:t>
      </w:r>
      <w:r w:rsidR="008D607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针对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乡村空间</w:t>
      </w:r>
      <w:r w:rsidR="008D607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韧性</w:t>
      </w:r>
      <w:r w:rsidR="008D607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营建</w:t>
      </w:r>
      <w:r w:rsidR="008D607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技术</w:t>
      </w:r>
      <w:r w:rsidR="008D6073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体系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的专门</w:t>
      </w:r>
      <w:r w:rsidR="008D607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性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系统化研究。本项目成果与国内外同类技术比较，具有“融贯创新度高、技术适宜性好、成果实用性强、示范应用面广”等优点。</w:t>
      </w:r>
    </w:p>
    <w:p w14:paraId="1D78BDDB" w14:textId="77777777" w:rsidR="00F52E88" w:rsidRDefault="00807CBB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2.科技查新报告</w:t>
      </w:r>
    </w:p>
    <w:p w14:paraId="418DA77B" w14:textId="77777777" w:rsidR="00F52E88" w:rsidRDefault="00807CBB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陕西省科学技术情报研究院对“黄土丘陵沟壑区韧性乡村空间建设的关键技术与集成应用”进行了科技查新，结果表明：未见明确提及查新点内容的文献报道。</w:t>
      </w:r>
    </w:p>
    <w:p w14:paraId="7E098834" w14:textId="3F5AFB82" w:rsidR="00F52E88" w:rsidRDefault="006F1670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3</w:t>
      </w:r>
      <w:r w:rsidR="00807CB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.国内外同行专家评价</w:t>
      </w:r>
    </w:p>
    <w:p w14:paraId="15B3454F" w14:textId="23EB40DF" w:rsidR="005E307B" w:rsidRDefault="00807CBB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本项目</w:t>
      </w:r>
      <w:r w:rsidR="005E307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涉及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韧性乡村</w:t>
      </w:r>
      <w:r w:rsidR="005E307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空间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建设中的韧性国土、韧性村落、韧性</w:t>
      </w:r>
      <w:r w:rsidR="005E307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防灾等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相关</w:t>
      </w:r>
      <w:r w:rsidR="005E307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关键</w:t>
      </w:r>
      <w:r w:rsidR="005E307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技术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研究</w:t>
      </w:r>
      <w:r w:rsidR="005E307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成果，得到</w:t>
      </w:r>
      <w:r w:rsidR="005E307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较好的推广示范应用，得到</w:t>
      </w:r>
      <w:r w:rsidR="005E307B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当地</w:t>
      </w:r>
      <w:r w:rsidR="005E307B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政府</w:t>
      </w:r>
      <w:r w:rsidR="00031E8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、</w:t>
      </w:r>
      <w:r w:rsidR="00031E8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相关部门和</w:t>
      </w:r>
      <w:r w:rsidR="00031E8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相关</w:t>
      </w:r>
      <w:r w:rsidR="00031E82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工程单位的应用，取得了</w:t>
      </w:r>
      <w:r w:rsidR="006F167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地方自然</w:t>
      </w:r>
      <w:r w:rsidR="006F1670"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资源部门和</w:t>
      </w:r>
      <w:r w:rsidR="00031E8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同行专家</w:t>
      </w:r>
      <w:r w:rsidR="006F167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的</w:t>
      </w:r>
      <w:r w:rsidR="00031E82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好评</w:t>
      </w:r>
      <w:r w:rsidR="0057419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14:paraId="32037711" w14:textId="5A3CC982" w:rsidR="00F52E88" w:rsidRDefault="00F52E88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sectPr w:rsidR="00F52E8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6B2D9A" w14:textId="726F3F97" w:rsidR="00F52E88" w:rsidRDefault="006F1670">
      <w:pPr>
        <w:rPr>
          <w:rFonts w:ascii="黑体" w:eastAsia="黑体" w:hAnsi="黑体" w:cs="仿宋_GB2312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color w:val="000000" w:themeColor="text1"/>
          <w:sz w:val="28"/>
          <w:szCs w:val="28"/>
        </w:rPr>
        <w:lastRenderedPageBreak/>
        <w:t>五</w:t>
      </w:r>
      <w:r w:rsidR="00807CBB">
        <w:rPr>
          <w:rFonts w:ascii="黑体" w:eastAsia="黑体" w:hAnsi="黑体" w:cs="仿宋_GB2312"/>
          <w:b/>
          <w:bCs/>
          <w:color w:val="000000" w:themeColor="text1"/>
          <w:sz w:val="28"/>
          <w:szCs w:val="28"/>
        </w:rPr>
        <w:t>、</w:t>
      </w:r>
      <w:r w:rsidR="00807CBB">
        <w:rPr>
          <w:rFonts w:ascii="黑体" w:eastAsia="黑体" w:hAnsi="黑体" w:cs="仿宋_GB2312" w:hint="eastAsia"/>
          <w:b/>
          <w:bCs/>
          <w:color w:val="000000" w:themeColor="text1"/>
          <w:sz w:val="28"/>
          <w:szCs w:val="28"/>
        </w:rPr>
        <w:t>主要知识产权和</w:t>
      </w:r>
      <w:r w:rsidR="00807CBB">
        <w:rPr>
          <w:rFonts w:ascii="黑体" w:eastAsia="黑体" w:hAnsi="黑体" w:cs="仿宋_GB2312"/>
          <w:b/>
          <w:bCs/>
          <w:color w:val="000000" w:themeColor="text1"/>
          <w:sz w:val="28"/>
          <w:szCs w:val="28"/>
        </w:rPr>
        <w:t>标准规范</w:t>
      </w:r>
      <w:r w:rsidR="00807CBB">
        <w:rPr>
          <w:rFonts w:ascii="黑体" w:eastAsia="黑体" w:hAnsi="黑体" w:cs="仿宋_GB2312" w:hint="eastAsia"/>
          <w:b/>
          <w:bCs/>
          <w:color w:val="000000" w:themeColor="text1"/>
          <w:sz w:val="28"/>
          <w:szCs w:val="28"/>
        </w:rPr>
        <w:t>目录（</w:t>
      </w:r>
      <w:r w:rsidR="00807CBB">
        <w:rPr>
          <w:rFonts w:ascii="黑体" w:eastAsia="黑体" w:hAnsi="黑体" w:cs="仿宋_GB2312"/>
          <w:b/>
          <w:bCs/>
          <w:color w:val="000000" w:themeColor="text1"/>
          <w:sz w:val="28"/>
          <w:szCs w:val="28"/>
        </w:rPr>
        <w:t>限</w:t>
      </w:r>
      <w:r w:rsidR="00807CBB">
        <w:rPr>
          <w:rFonts w:ascii="黑体" w:eastAsia="黑体" w:hAnsi="黑体" w:cs="仿宋_GB2312" w:hint="eastAsia"/>
          <w:b/>
          <w:bCs/>
          <w:color w:val="000000" w:themeColor="text1"/>
          <w:sz w:val="28"/>
          <w:szCs w:val="28"/>
        </w:rPr>
        <w:t>10条）</w:t>
      </w:r>
      <w:bookmarkEnd w:id="0"/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079"/>
        <w:gridCol w:w="3686"/>
        <w:gridCol w:w="1136"/>
        <w:gridCol w:w="1703"/>
        <w:gridCol w:w="1418"/>
        <w:gridCol w:w="1559"/>
        <w:gridCol w:w="1982"/>
        <w:gridCol w:w="2651"/>
      </w:tblGrid>
      <w:tr w:rsidR="00F52E88" w14:paraId="2BC957FD" w14:textId="77777777" w:rsidTr="00BE3AFD">
        <w:trPr>
          <w:trHeight w:val="505"/>
          <w:tblHeader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12212" w14:textId="77777777" w:rsidR="00F52E88" w:rsidRDefault="00807CBB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4DE0F" w14:textId="77777777" w:rsidR="00F52E88" w:rsidRDefault="00807CBB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知识产权类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7D743" w14:textId="77777777" w:rsidR="00F52E88" w:rsidRDefault="00807CBB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知识产权</w:t>
            </w:r>
          </w:p>
          <w:p w14:paraId="3EDA223F" w14:textId="77777777" w:rsidR="00F52E88" w:rsidRDefault="00807CBB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具体名称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09CDC" w14:textId="77777777" w:rsidR="00F52E88" w:rsidRDefault="00807CBB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国家</w:t>
            </w:r>
          </w:p>
          <w:p w14:paraId="026E72D3" w14:textId="77777777" w:rsidR="00F52E88" w:rsidRDefault="00807CBB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7C664" w14:textId="77777777" w:rsidR="00F52E88" w:rsidRDefault="00807CBB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授权号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2DDF3" w14:textId="77777777" w:rsidR="00F52E88" w:rsidRDefault="00807CBB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授权日期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961CF" w14:textId="77777777" w:rsidR="00F52E88" w:rsidRDefault="00807CBB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A1452" w14:textId="77777777" w:rsidR="00F52E88" w:rsidRDefault="00807CBB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权利人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A6AA0" w14:textId="77777777" w:rsidR="00F52E88" w:rsidRDefault="00807CBB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color w:val="000000"/>
                <w:sz w:val="21"/>
                <w:szCs w:val="21"/>
              </w:rPr>
              <w:t>发明人</w:t>
            </w:r>
          </w:p>
        </w:tc>
      </w:tr>
      <w:tr w:rsidR="00BE3AFD" w14:paraId="11C6A7FD" w14:textId="77777777" w:rsidTr="00BE3AFD">
        <w:trPr>
          <w:trHeight w:val="505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152E9" w14:textId="72AE08E8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691DA" w14:textId="0CA01687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656E6" w14:textId="5E2692CE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一种基于生态园林设计的框架式</w:t>
            </w:r>
            <w:proofErr w:type="gramStart"/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墙面绿植垂直</w:t>
            </w:r>
            <w:proofErr w:type="gramEnd"/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攀爬结构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09563" w14:textId="4D81E077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FDD05" w14:textId="609376B1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81EAE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CN114830944B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ECB93" w14:textId="0FBBD7C4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2022-08-02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92C4C" w14:textId="77777777" w:rsidR="00BE3AFD" w:rsidRPr="00F426E0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证书号第</w:t>
            </w:r>
          </w:p>
          <w:p w14:paraId="0B74C08A" w14:textId="6885219E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6266330号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B249C" w14:textId="622E05EF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西安建筑科技大学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82A2B" w14:textId="0349F33F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55006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魏书威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</w:t>
            </w:r>
            <w:r w:rsidRPr="0055006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赵垣铮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</w:t>
            </w:r>
            <w:r w:rsidRPr="0055006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姜涛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</w:t>
            </w:r>
            <w:r w:rsidRPr="0055006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谭文斌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</w:t>
            </w:r>
            <w:r w:rsidRPr="0055006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赵</w:t>
            </w:r>
            <w:proofErr w:type="gramStart"/>
            <w:r w:rsidRPr="0055006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喆雯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</w:t>
            </w:r>
            <w:r w:rsidRPr="0055006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梁晏铭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</w:t>
            </w:r>
            <w:r w:rsidRPr="0055006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穆芳</w:t>
            </w:r>
            <w:proofErr w:type="gramStart"/>
            <w:r w:rsidRPr="0055006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芳</w:t>
            </w:r>
            <w:proofErr w:type="gramEnd"/>
          </w:p>
        </w:tc>
      </w:tr>
      <w:tr w:rsidR="00BE3AFD" w14:paraId="07A5E84E" w14:textId="77777777" w:rsidTr="00BE3AFD">
        <w:trPr>
          <w:trHeight w:val="505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3C036" w14:textId="387B635D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1A758" w14:textId="709FAA4B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计算机软件著作权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D98A3" w14:textId="3854F256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生态环境云监测管理平台 V1.0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56B7F" w14:textId="2DE1A715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9CF83" w14:textId="44D3A24D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2024SR1254766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AAF67" w14:textId="06063D5E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2024-08-28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77E1F4" w14:textId="386CE703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软著登字</w:t>
            </w:r>
            <w:proofErr w:type="gramEnd"/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第136585639号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417D3" w14:textId="44E729D8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西安建筑科技大学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2A662" w14:textId="733D0F71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王伟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</w:t>
            </w: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韦娜</w:t>
            </w:r>
          </w:p>
        </w:tc>
      </w:tr>
      <w:tr w:rsidR="00BE3AFD" w14:paraId="631AF313" w14:textId="77777777" w:rsidTr="00BE3AFD">
        <w:trPr>
          <w:trHeight w:val="505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74BC3" w14:textId="27825D35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229D1" w14:textId="4F3E7080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实用新型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B16AE" w14:textId="296ECBD2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一种乡村景观植物移植装置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216A9" w14:textId="1A8E11A8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C1833" w14:textId="57480FC1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81EAE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CN212306369U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94F51" w14:textId="02914206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2021-01-08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4BAC1" w14:textId="199E8AAB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证书号第12295234号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D6058" w14:textId="723A7539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西安建筑科技大学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5EEE7" w14:textId="3CA5EB33" w:rsidR="00BE3AFD" w:rsidRDefault="00BE3AFD" w:rsidP="00BF443F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韦娜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韦佳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bookmarkStart w:id="1" w:name="_GoBack"/>
            <w:bookmarkEnd w:id="1"/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刘倩倩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张迪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阎莹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郭月</w:t>
            </w:r>
          </w:p>
        </w:tc>
      </w:tr>
      <w:tr w:rsidR="00BE3AFD" w14:paraId="516C7C36" w14:textId="77777777" w:rsidTr="00BE3AFD">
        <w:trPr>
          <w:trHeight w:val="505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C13F8" w14:textId="44C63DD9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6D26E" w14:textId="043F7B03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实用新型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3AEC9" w14:textId="125ED904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B323C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一种具备节水灌溉功能的景观设备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53347" w14:textId="5BB82766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B323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D17F6" w14:textId="42CC4FB1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B323C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CN220693857U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D2B3B" w14:textId="331A18C3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B323C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2024-04-02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061BC" w14:textId="0B34B40E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B323C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证书号第20688213号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220F8" w14:textId="7FEC2DF0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西安建筑科技大学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7A25C" w14:textId="3CD11881" w:rsidR="00BE3AFD" w:rsidRDefault="00BE3AFD" w:rsidP="00BF443F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B323C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王伟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</w:t>
            </w:r>
            <w:r w:rsidRPr="00FB323C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焦想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</w:t>
            </w:r>
            <w:proofErr w:type="gramStart"/>
            <w:r w:rsidRPr="00FB323C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展涵哲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</w:t>
            </w:r>
            <w:r w:rsidRPr="00FB323C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刘志远</w:t>
            </w:r>
          </w:p>
        </w:tc>
      </w:tr>
      <w:tr w:rsidR="00BE3AFD" w14:paraId="6074DE87" w14:textId="77777777" w:rsidTr="00BE3AFD">
        <w:trPr>
          <w:trHeight w:val="505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606D2" w14:textId="1DF083D7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09303" w14:textId="2EFE9730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计算机软件著作权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4A311" w14:textId="77FADC3C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风景园林环境智能化监测系统V1.0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0C03A" w14:textId="6DDFD4CB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B7758" w14:textId="3EF35845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2024SR2128837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E31A1" w14:textId="188E37E5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2024-12-09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2ABFB" w14:textId="23030417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软著登字</w:t>
            </w:r>
            <w:proofErr w:type="gramEnd"/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第13330198号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C8266" w14:textId="45C0AD2A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西安建筑科技大学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32EBD" w14:textId="0BBFF0B0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魏书威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秦彦锦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卢君君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姜涛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穆芳芳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张天琪</w:t>
            </w:r>
          </w:p>
        </w:tc>
      </w:tr>
      <w:tr w:rsidR="00BE3AFD" w14:paraId="0A7191A1" w14:textId="77777777" w:rsidTr="00BE3AFD">
        <w:trPr>
          <w:trHeight w:val="505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9CC86" w14:textId="5D814DE7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8335C" w14:textId="5BAFA5CB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计算机软件著作权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6FB82" w14:textId="36A8ABF0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基于</w:t>
            </w:r>
            <w:proofErr w:type="gramStart"/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去趋势</w:t>
            </w:r>
            <w:proofErr w:type="gramEnd"/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波动分析与分位数分析方法的极</w:t>
            </w:r>
            <w:r w:rsidR="00BF443F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端</w:t>
            </w: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降水阈值计算工作工具V1.0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B6EB7" w14:textId="21A6B318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316B5" w14:textId="692B95FC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2024S81792556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AE862" w14:textId="6F107F14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2024-11-14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1CE24" w14:textId="6E91149A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软著登字</w:t>
            </w:r>
            <w:proofErr w:type="gramEnd"/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第1459429号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E3369" w14:textId="287C6ADE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西北农林科技大学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7388E" w14:textId="0BF55C37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方歆煜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</w:t>
            </w: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张听略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</w:t>
            </w: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赵文婷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</w:t>
            </w: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焦菊英</w:t>
            </w:r>
          </w:p>
        </w:tc>
      </w:tr>
      <w:tr w:rsidR="00BE3AFD" w14:paraId="54F1DC87" w14:textId="77777777" w:rsidTr="00BE3AFD">
        <w:trPr>
          <w:trHeight w:val="505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C927F" w14:textId="5EDF72CF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CF724" w14:textId="3D445E52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计算机软件著作权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1F43A" w14:textId="02E33195" w:rsidR="00BE3AFD" w:rsidRDefault="00BE3AFD" w:rsidP="00BE3AFD">
            <w:pPr>
              <w:pStyle w:val="ad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shd w:val="clear" w:color="auto" w:fill="FFFFFF"/>
              </w:rPr>
              <w:t>历史名镇景观格局优化构建模拟系统 V1.0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307DF" w14:textId="60F1C0AC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1D5B1" w14:textId="35797262" w:rsidR="00BE3AFD" w:rsidRDefault="00BE3AFD" w:rsidP="00BE3AFD">
            <w:pPr>
              <w:pStyle w:val="ad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shd w:val="clear" w:color="auto" w:fill="FFFFFF"/>
              </w:rPr>
              <w:t>2025SR0610528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FE5C8" w14:textId="0F25F9AA" w:rsidR="00BE3AFD" w:rsidRDefault="00BE3AFD" w:rsidP="00BE3AFD">
            <w:pPr>
              <w:pStyle w:val="ad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shd w:val="clear" w:color="auto" w:fill="FFFFFF"/>
              </w:rPr>
              <w:t>2025-04-14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EF483" w14:textId="3EE79CFD" w:rsidR="00BE3AFD" w:rsidRDefault="00BE3AFD" w:rsidP="00BE3AFD">
            <w:pPr>
              <w:pStyle w:val="ad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proofErr w:type="gramStart"/>
            <w:r w:rsidRPr="00F426E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shd w:val="clear" w:color="auto" w:fill="FFFFFF"/>
              </w:rPr>
              <w:t>软著登字</w:t>
            </w:r>
            <w:proofErr w:type="gramEnd"/>
            <w:r w:rsidRPr="00F426E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shd w:val="clear" w:color="auto" w:fill="FFFFFF"/>
              </w:rPr>
              <w:t>第15266726号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F70AAC" w14:textId="567E7285" w:rsidR="00BE3AFD" w:rsidRDefault="00BE3AFD" w:rsidP="00BE3AFD">
            <w:pPr>
              <w:pStyle w:val="ad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西安建筑科技大学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15474" w14:textId="4BFC45A3" w:rsidR="00BE3AFD" w:rsidRDefault="00BE3AFD" w:rsidP="00BE3AFD">
            <w:pPr>
              <w:pStyle w:val="ad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shd w:val="clear" w:color="auto" w:fill="FFFFFF"/>
              </w:rPr>
              <w:t>魏书威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shd w:val="clear" w:color="auto" w:fill="FFFFFF"/>
              </w:rPr>
              <w:t>王雨桐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shd w:val="clear" w:color="auto" w:fill="FFFFFF"/>
              </w:rPr>
              <w:t>姜涛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shd w:val="clear" w:color="auto" w:fill="FFFFFF"/>
              </w:rPr>
              <w:t>田达睿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shd w:val="clear" w:color="auto" w:fill="FFFFFF"/>
              </w:rPr>
              <w:t>刘芳芳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shd w:val="clear" w:color="auto" w:fill="FFFFFF"/>
              </w:rPr>
              <w:t>卫新东</w:t>
            </w:r>
          </w:p>
        </w:tc>
      </w:tr>
      <w:tr w:rsidR="00BE3AFD" w14:paraId="2CEABD90" w14:textId="77777777" w:rsidTr="00BE3AFD">
        <w:trPr>
          <w:trHeight w:val="505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60095" w14:textId="28085895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1304A" w14:textId="633B01DA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670C2" w14:textId="69C2EB19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一种适用于风景园林养护的定点施肥装置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08F35" w14:textId="75C2154A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297BC" w14:textId="31B7B7B6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681EAE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CN114793512B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3B29B" w14:textId="700F9675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2024-05-23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C0270" w14:textId="77777777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证书号第</w:t>
            </w:r>
          </w:p>
          <w:p w14:paraId="52D7BDB3" w14:textId="64C646F2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6608476号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56142" w14:textId="259C9DF6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西安建筑科技大学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0E3AA" w14:textId="0464BD5D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9909A6"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魏书威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9909A6"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梁晏铭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9909A6"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姜涛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9909A6"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赵垣铮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9909A6"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郝健仲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9909A6"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稳芳</w:t>
            </w:r>
            <w:proofErr w:type="gramStart"/>
            <w:r w:rsidRPr="009909A6"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芳</w:t>
            </w:r>
            <w:proofErr w:type="gramEnd"/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proofErr w:type="gramStart"/>
            <w:r w:rsidRPr="009909A6"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钟果</w:t>
            </w:r>
            <w:proofErr w:type="gramEnd"/>
          </w:p>
        </w:tc>
      </w:tr>
      <w:tr w:rsidR="00BE3AFD" w14:paraId="2C311F86" w14:textId="77777777" w:rsidTr="00BE3AFD">
        <w:trPr>
          <w:trHeight w:val="505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6F7C2" w14:textId="27C147D8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B9B08" w14:textId="3CEDDFA4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计算机软件著作权</w:t>
            </w: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7354F" w14:textId="0CA97CEF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历史文化街区城市更新设计服务系统V1.0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4E267" w14:textId="5D2A94F2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E66EE" w14:textId="45A0E3A0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2025SR0209217</w:t>
            </w: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F864F" w14:textId="4849578D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2025-02-07</w:t>
            </w: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07A56" w14:textId="40B0A1AD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proofErr w:type="gramStart"/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软著登字</w:t>
            </w:r>
            <w:proofErr w:type="gramEnd"/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第14865415号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215D3" w14:textId="53374170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西安建筑科技大学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C1EA9" w14:textId="09D64C7E" w:rsidR="00BE3AFD" w:rsidRDefault="00BE3AFD" w:rsidP="00BE3AF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魏书威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刘锦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卢君君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刘芳芳</w:t>
            </w:r>
            <w:r>
              <w:rPr>
                <w:rFonts w:asciiTheme="majorEastAsia" w:eastAsiaTheme="majorEastAsia" w:hAnsiTheme="majorEastAsia" w:cs="Arial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  <w:r w:rsidRPr="00F426E0">
              <w:rPr>
                <w:rFonts w:asciiTheme="majorEastAsia" w:eastAsiaTheme="majorEastAsia" w:hAnsiTheme="majorEastAsia" w:cs="Arial"/>
                <w:color w:val="000000" w:themeColor="text1"/>
                <w:sz w:val="21"/>
                <w:szCs w:val="21"/>
                <w:shd w:val="clear" w:color="auto" w:fill="FFFFFF"/>
              </w:rPr>
              <w:t>穆芳芳</w:t>
            </w:r>
          </w:p>
        </w:tc>
      </w:tr>
      <w:tr w:rsidR="00DA769D" w14:paraId="36452E92" w14:textId="77777777" w:rsidTr="00BE3AFD">
        <w:trPr>
          <w:trHeight w:val="505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32142" w14:textId="0DD4B7A3" w:rsidR="00DA769D" w:rsidRDefault="00BE3AFD" w:rsidP="00DA769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FC90D" w14:textId="77777777" w:rsidR="00DA769D" w:rsidRDefault="00DA769D" w:rsidP="00DA769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11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0DD1A" w14:textId="77777777" w:rsidR="00DA769D" w:rsidRDefault="00DA769D" w:rsidP="00DA769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EFF24" w14:textId="77777777" w:rsidR="00DA769D" w:rsidRDefault="00DA769D" w:rsidP="00DA769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EF9F7" w14:textId="77777777" w:rsidR="00DA769D" w:rsidRDefault="00DA769D" w:rsidP="00DA769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87C87" w14:textId="77777777" w:rsidR="00DA769D" w:rsidRDefault="00DA769D" w:rsidP="00DA769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E345C" w14:textId="77777777" w:rsidR="00DA769D" w:rsidRDefault="00DA769D" w:rsidP="00DA769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BAE38" w14:textId="77777777" w:rsidR="00DA769D" w:rsidRDefault="00DA769D" w:rsidP="00DA769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  <w:tc>
          <w:tcPr>
            <w:tcW w:w="8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7A3D7" w14:textId="77777777" w:rsidR="00DA769D" w:rsidRDefault="00DA769D" w:rsidP="00DA769D">
            <w:pPr>
              <w:pStyle w:val="a5"/>
              <w:spacing w:line="240" w:lineRule="auto"/>
              <w:ind w:firstLineChars="0" w:firstLine="0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</w:p>
        </w:tc>
      </w:tr>
    </w:tbl>
    <w:p w14:paraId="65113F14" w14:textId="77777777" w:rsidR="00F52E88" w:rsidRDefault="00F52E88">
      <w:pPr>
        <w:rPr>
          <w:rFonts w:ascii="仿宋_GB2312" w:eastAsia="仿宋_GB2312" w:hAnsi="仿宋_GB2312" w:cs="仿宋_GB2312"/>
          <w:b/>
          <w:color w:val="000000" w:themeColor="text1"/>
          <w:spacing w:val="-4"/>
          <w:sz w:val="32"/>
          <w:szCs w:val="32"/>
          <w:highlight w:val="yellow"/>
          <w:u w:val="single"/>
        </w:rPr>
        <w:sectPr w:rsidR="00F52E88">
          <w:pgSz w:w="16838" w:h="11906" w:orient="landscape"/>
          <w:pgMar w:top="1418" w:right="567" w:bottom="1418" w:left="567" w:header="851" w:footer="992" w:gutter="0"/>
          <w:cols w:space="425"/>
          <w:docGrid w:type="lines" w:linePitch="312"/>
        </w:sectPr>
      </w:pPr>
    </w:p>
    <w:p w14:paraId="3DD95568" w14:textId="77777777" w:rsidR="00F52E88" w:rsidRPr="0094440E" w:rsidRDefault="00F52E88" w:rsidP="0015213A">
      <w:pPr>
        <w:spacing w:beforeLines="50" w:before="156" w:line="500" w:lineRule="exact"/>
        <w:rPr>
          <w:b/>
          <w:color w:val="000000" w:themeColor="text1"/>
          <w:u w:val="single"/>
        </w:rPr>
      </w:pPr>
    </w:p>
    <w:sectPr w:rsidR="00F52E88" w:rsidRPr="0094440E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 SI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6490F0"/>
    <w:multiLevelType w:val="singleLevel"/>
    <w:tmpl w:val="FE6490F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19B4396"/>
    <w:multiLevelType w:val="hybridMultilevel"/>
    <w:tmpl w:val="D540B446"/>
    <w:lvl w:ilvl="0" w:tplc="E5D00B0A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kNTdiNjE1Y2JmNTA3ZThiN2JjYzMwNzFhZjQ0MjIifQ=="/>
  </w:docVars>
  <w:rsids>
    <w:rsidRoot w:val="001938A0"/>
    <w:rsid w:val="00002FBD"/>
    <w:rsid w:val="00003716"/>
    <w:rsid w:val="000134A3"/>
    <w:rsid w:val="000219A6"/>
    <w:rsid w:val="00031244"/>
    <w:rsid w:val="00031E82"/>
    <w:rsid w:val="00032236"/>
    <w:rsid w:val="000357FA"/>
    <w:rsid w:val="0003614E"/>
    <w:rsid w:val="00046E3F"/>
    <w:rsid w:val="00057FA0"/>
    <w:rsid w:val="00062150"/>
    <w:rsid w:val="000628C9"/>
    <w:rsid w:val="000675B3"/>
    <w:rsid w:val="000741BC"/>
    <w:rsid w:val="00083A3F"/>
    <w:rsid w:val="00085A86"/>
    <w:rsid w:val="000969EC"/>
    <w:rsid w:val="000A25AF"/>
    <w:rsid w:val="000A65E4"/>
    <w:rsid w:val="000A6FB9"/>
    <w:rsid w:val="000B230D"/>
    <w:rsid w:val="000C105A"/>
    <w:rsid w:val="000C1E42"/>
    <w:rsid w:val="000C434F"/>
    <w:rsid w:val="000D2533"/>
    <w:rsid w:val="000D3350"/>
    <w:rsid w:val="000D605B"/>
    <w:rsid w:val="000E3897"/>
    <w:rsid w:val="000F35BD"/>
    <w:rsid w:val="0010095B"/>
    <w:rsid w:val="0010729B"/>
    <w:rsid w:val="00113155"/>
    <w:rsid w:val="00121039"/>
    <w:rsid w:val="00140899"/>
    <w:rsid w:val="001430AF"/>
    <w:rsid w:val="0015213A"/>
    <w:rsid w:val="00154D28"/>
    <w:rsid w:val="00157E5E"/>
    <w:rsid w:val="00166129"/>
    <w:rsid w:val="00172248"/>
    <w:rsid w:val="0017765A"/>
    <w:rsid w:val="00181B3A"/>
    <w:rsid w:val="00183C1E"/>
    <w:rsid w:val="0019130D"/>
    <w:rsid w:val="001938A0"/>
    <w:rsid w:val="001971A4"/>
    <w:rsid w:val="001A0175"/>
    <w:rsid w:val="001A29F3"/>
    <w:rsid w:val="001A4EA0"/>
    <w:rsid w:val="001A561F"/>
    <w:rsid w:val="001D1BC1"/>
    <w:rsid w:val="001E1994"/>
    <w:rsid w:val="001E3B85"/>
    <w:rsid w:val="001F1812"/>
    <w:rsid w:val="001F1D7B"/>
    <w:rsid w:val="001F24D6"/>
    <w:rsid w:val="002013B4"/>
    <w:rsid w:val="00205F09"/>
    <w:rsid w:val="00214AED"/>
    <w:rsid w:val="00223997"/>
    <w:rsid w:val="002319B6"/>
    <w:rsid w:val="00234DAC"/>
    <w:rsid w:val="00235A9A"/>
    <w:rsid w:val="002464D7"/>
    <w:rsid w:val="00260D31"/>
    <w:rsid w:val="0026363F"/>
    <w:rsid w:val="00263EB4"/>
    <w:rsid w:val="002657D6"/>
    <w:rsid w:val="00277AE1"/>
    <w:rsid w:val="00283578"/>
    <w:rsid w:val="00293616"/>
    <w:rsid w:val="00294593"/>
    <w:rsid w:val="00295982"/>
    <w:rsid w:val="00297DD6"/>
    <w:rsid w:val="002A662C"/>
    <w:rsid w:val="002B7344"/>
    <w:rsid w:val="002C682A"/>
    <w:rsid w:val="002E1B27"/>
    <w:rsid w:val="002E66CD"/>
    <w:rsid w:val="002E7843"/>
    <w:rsid w:val="002F2004"/>
    <w:rsid w:val="002F4D7B"/>
    <w:rsid w:val="002F7376"/>
    <w:rsid w:val="002F7A64"/>
    <w:rsid w:val="00301B88"/>
    <w:rsid w:val="00310CE4"/>
    <w:rsid w:val="00314F76"/>
    <w:rsid w:val="003208D6"/>
    <w:rsid w:val="003327B1"/>
    <w:rsid w:val="00343728"/>
    <w:rsid w:val="0034496F"/>
    <w:rsid w:val="0035324C"/>
    <w:rsid w:val="0036392B"/>
    <w:rsid w:val="00374741"/>
    <w:rsid w:val="003768AB"/>
    <w:rsid w:val="00376FA7"/>
    <w:rsid w:val="003822EE"/>
    <w:rsid w:val="003966CA"/>
    <w:rsid w:val="003A6C92"/>
    <w:rsid w:val="003B13D5"/>
    <w:rsid w:val="003C401D"/>
    <w:rsid w:val="003C54BC"/>
    <w:rsid w:val="003D6395"/>
    <w:rsid w:val="003E1973"/>
    <w:rsid w:val="003E44D9"/>
    <w:rsid w:val="003F4455"/>
    <w:rsid w:val="0041085F"/>
    <w:rsid w:val="00410BFD"/>
    <w:rsid w:val="0041336C"/>
    <w:rsid w:val="00415EB7"/>
    <w:rsid w:val="00424F48"/>
    <w:rsid w:val="00434382"/>
    <w:rsid w:val="0043628F"/>
    <w:rsid w:val="00445AFC"/>
    <w:rsid w:val="00483955"/>
    <w:rsid w:val="004843FB"/>
    <w:rsid w:val="004927A4"/>
    <w:rsid w:val="00495056"/>
    <w:rsid w:val="0049744A"/>
    <w:rsid w:val="004A066E"/>
    <w:rsid w:val="004A3393"/>
    <w:rsid w:val="004A3A5D"/>
    <w:rsid w:val="004B0138"/>
    <w:rsid w:val="004B146E"/>
    <w:rsid w:val="004B7C00"/>
    <w:rsid w:val="004C0E2D"/>
    <w:rsid w:val="004E4AFB"/>
    <w:rsid w:val="004F1FC1"/>
    <w:rsid w:val="0050619F"/>
    <w:rsid w:val="00507B8C"/>
    <w:rsid w:val="005105CD"/>
    <w:rsid w:val="005203ED"/>
    <w:rsid w:val="0052337B"/>
    <w:rsid w:val="00523F19"/>
    <w:rsid w:val="00524CA9"/>
    <w:rsid w:val="0053154E"/>
    <w:rsid w:val="00535AF3"/>
    <w:rsid w:val="00546680"/>
    <w:rsid w:val="0055234A"/>
    <w:rsid w:val="00561595"/>
    <w:rsid w:val="00561D01"/>
    <w:rsid w:val="00563A44"/>
    <w:rsid w:val="00563C34"/>
    <w:rsid w:val="00570D9B"/>
    <w:rsid w:val="00573113"/>
    <w:rsid w:val="00574193"/>
    <w:rsid w:val="005743A1"/>
    <w:rsid w:val="0058366F"/>
    <w:rsid w:val="00585FB0"/>
    <w:rsid w:val="00590122"/>
    <w:rsid w:val="005A1201"/>
    <w:rsid w:val="005A16D0"/>
    <w:rsid w:val="005A64F5"/>
    <w:rsid w:val="005A71EC"/>
    <w:rsid w:val="005B10A0"/>
    <w:rsid w:val="005B159B"/>
    <w:rsid w:val="005B41C6"/>
    <w:rsid w:val="005B643E"/>
    <w:rsid w:val="005B794F"/>
    <w:rsid w:val="005C28DF"/>
    <w:rsid w:val="005D358C"/>
    <w:rsid w:val="005E179C"/>
    <w:rsid w:val="005E307B"/>
    <w:rsid w:val="005E3541"/>
    <w:rsid w:val="005E74A2"/>
    <w:rsid w:val="005F0F59"/>
    <w:rsid w:val="005F3CDF"/>
    <w:rsid w:val="006134F4"/>
    <w:rsid w:val="00625143"/>
    <w:rsid w:val="0064019B"/>
    <w:rsid w:val="00641E63"/>
    <w:rsid w:val="00647723"/>
    <w:rsid w:val="00655A61"/>
    <w:rsid w:val="00667A04"/>
    <w:rsid w:val="006719C7"/>
    <w:rsid w:val="0067706B"/>
    <w:rsid w:val="006815E5"/>
    <w:rsid w:val="00684C38"/>
    <w:rsid w:val="00696368"/>
    <w:rsid w:val="006A1EB2"/>
    <w:rsid w:val="006A3738"/>
    <w:rsid w:val="006A505F"/>
    <w:rsid w:val="006B41EC"/>
    <w:rsid w:val="006D3477"/>
    <w:rsid w:val="006E3D86"/>
    <w:rsid w:val="006F1670"/>
    <w:rsid w:val="006F664B"/>
    <w:rsid w:val="007118CB"/>
    <w:rsid w:val="00721292"/>
    <w:rsid w:val="00721903"/>
    <w:rsid w:val="00723D2E"/>
    <w:rsid w:val="0073364B"/>
    <w:rsid w:val="0073509D"/>
    <w:rsid w:val="007354B8"/>
    <w:rsid w:val="00744196"/>
    <w:rsid w:val="00753EC1"/>
    <w:rsid w:val="0076354B"/>
    <w:rsid w:val="00764B27"/>
    <w:rsid w:val="0077063D"/>
    <w:rsid w:val="007812DC"/>
    <w:rsid w:val="00782161"/>
    <w:rsid w:val="0078689A"/>
    <w:rsid w:val="00792A49"/>
    <w:rsid w:val="0079358F"/>
    <w:rsid w:val="007A1E4B"/>
    <w:rsid w:val="007A2B14"/>
    <w:rsid w:val="007B3C26"/>
    <w:rsid w:val="007B6CF7"/>
    <w:rsid w:val="007C2DBA"/>
    <w:rsid w:val="007C3B82"/>
    <w:rsid w:val="007C6961"/>
    <w:rsid w:val="007D40EF"/>
    <w:rsid w:val="007D6530"/>
    <w:rsid w:val="007D65E4"/>
    <w:rsid w:val="007D6B1E"/>
    <w:rsid w:val="007E32B0"/>
    <w:rsid w:val="007E6E6B"/>
    <w:rsid w:val="007F50A6"/>
    <w:rsid w:val="007F7C64"/>
    <w:rsid w:val="00807CBB"/>
    <w:rsid w:val="0081497B"/>
    <w:rsid w:val="00815D4F"/>
    <w:rsid w:val="008271B1"/>
    <w:rsid w:val="00835F62"/>
    <w:rsid w:val="00843C36"/>
    <w:rsid w:val="00846820"/>
    <w:rsid w:val="008640B6"/>
    <w:rsid w:val="0087285C"/>
    <w:rsid w:val="00896FF6"/>
    <w:rsid w:val="00897FDA"/>
    <w:rsid w:val="008A1F1E"/>
    <w:rsid w:val="008A382E"/>
    <w:rsid w:val="008A6178"/>
    <w:rsid w:val="008A6D85"/>
    <w:rsid w:val="008B0645"/>
    <w:rsid w:val="008C71A7"/>
    <w:rsid w:val="008D045A"/>
    <w:rsid w:val="008D6073"/>
    <w:rsid w:val="008E1151"/>
    <w:rsid w:val="008E28BD"/>
    <w:rsid w:val="008E5FA1"/>
    <w:rsid w:val="00900934"/>
    <w:rsid w:val="00904711"/>
    <w:rsid w:val="00905009"/>
    <w:rsid w:val="00911807"/>
    <w:rsid w:val="00922A5E"/>
    <w:rsid w:val="00922F32"/>
    <w:rsid w:val="00926182"/>
    <w:rsid w:val="00926AC9"/>
    <w:rsid w:val="0094440E"/>
    <w:rsid w:val="0094635B"/>
    <w:rsid w:val="00952F5F"/>
    <w:rsid w:val="009569E9"/>
    <w:rsid w:val="00962C20"/>
    <w:rsid w:val="00981993"/>
    <w:rsid w:val="00983AB7"/>
    <w:rsid w:val="0098584D"/>
    <w:rsid w:val="009912D5"/>
    <w:rsid w:val="00996643"/>
    <w:rsid w:val="00996845"/>
    <w:rsid w:val="009B0CB7"/>
    <w:rsid w:val="009B0EAB"/>
    <w:rsid w:val="009B2666"/>
    <w:rsid w:val="009B3064"/>
    <w:rsid w:val="009C09B6"/>
    <w:rsid w:val="009C17F8"/>
    <w:rsid w:val="009C4019"/>
    <w:rsid w:val="009C7180"/>
    <w:rsid w:val="009D12B7"/>
    <w:rsid w:val="009D35D5"/>
    <w:rsid w:val="009D6F32"/>
    <w:rsid w:val="009D7872"/>
    <w:rsid w:val="00A022F5"/>
    <w:rsid w:val="00A023FC"/>
    <w:rsid w:val="00A148B5"/>
    <w:rsid w:val="00A14FD5"/>
    <w:rsid w:val="00A17EF7"/>
    <w:rsid w:val="00A21039"/>
    <w:rsid w:val="00A4766D"/>
    <w:rsid w:val="00A5540D"/>
    <w:rsid w:val="00A56414"/>
    <w:rsid w:val="00A57DB9"/>
    <w:rsid w:val="00A6319A"/>
    <w:rsid w:val="00A67EAC"/>
    <w:rsid w:val="00A96648"/>
    <w:rsid w:val="00AB3413"/>
    <w:rsid w:val="00AD6D16"/>
    <w:rsid w:val="00AE3082"/>
    <w:rsid w:val="00AE3920"/>
    <w:rsid w:val="00AE3D4A"/>
    <w:rsid w:val="00AE6FD9"/>
    <w:rsid w:val="00B041D6"/>
    <w:rsid w:val="00B06105"/>
    <w:rsid w:val="00B0721D"/>
    <w:rsid w:val="00B22627"/>
    <w:rsid w:val="00B3008E"/>
    <w:rsid w:val="00B304BE"/>
    <w:rsid w:val="00B361E3"/>
    <w:rsid w:val="00B5397E"/>
    <w:rsid w:val="00B55A31"/>
    <w:rsid w:val="00B60BAA"/>
    <w:rsid w:val="00B6483C"/>
    <w:rsid w:val="00B71F90"/>
    <w:rsid w:val="00B76CEA"/>
    <w:rsid w:val="00B830CD"/>
    <w:rsid w:val="00B83186"/>
    <w:rsid w:val="00B87782"/>
    <w:rsid w:val="00B91CE1"/>
    <w:rsid w:val="00B92EDB"/>
    <w:rsid w:val="00B930EA"/>
    <w:rsid w:val="00BA2397"/>
    <w:rsid w:val="00BA2779"/>
    <w:rsid w:val="00BB0D0E"/>
    <w:rsid w:val="00BB53D9"/>
    <w:rsid w:val="00BC551A"/>
    <w:rsid w:val="00BD21CC"/>
    <w:rsid w:val="00BD4A2F"/>
    <w:rsid w:val="00BD606B"/>
    <w:rsid w:val="00BE3AFD"/>
    <w:rsid w:val="00BE4327"/>
    <w:rsid w:val="00BE6121"/>
    <w:rsid w:val="00BF443F"/>
    <w:rsid w:val="00C03DA7"/>
    <w:rsid w:val="00C13999"/>
    <w:rsid w:val="00C14A8D"/>
    <w:rsid w:val="00C2168C"/>
    <w:rsid w:val="00C251B2"/>
    <w:rsid w:val="00C31B31"/>
    <w:rsid w:val="00C41456"/>
    <w:rsid w:val="00C443D9"/>
    <w:rsid w:val="00C47958"/>
    <w:rsid w:val="00C60FD1"/>
    <w:rsid w:val="00C61F85"/>
    <w:rsid w:val="00C638FB"/>
    <w:rsid w:val="00C6609A"/>
    <w:rsid w:val="00C734C0"/>
    <w:rsid w:val="00C75C07"/>
    <w:rsid w:val="00C75DE8"/>
    <w:rsid w:val="00C76590"/>
    <w:rsid w:val="00C82B56"/>
    <w:rsid w:val="00C82F46"/>
    <w:rsid w:val="00C8495B"/>
    <w:rsid w:val="00C94034"/>
    <w:rsid w:val="00C9624C"/>
    <w:rsid w:val="00C97925"/>
    <w:rsid w:val="00CA0820"/>
    <w:rsid w:val="00CA1848"/>
    <w:rsid w:val="00CB45B3"/>
    <w:rsid w:val="00CC2B21"/>
    <w:rsid w:val="00CC4838"/>
    <w:rsid w:val="00CD439D"/>
    <w:rsid w:val="00CE2288"/>
    <w:rsid w:val="00D075C5"/>
    <w:rsid w:val="00D12FD6"/>
    <w:rsid w:val="00D20468"/>
    <w:rsid w:val="00D30EA9"/>
    <w:rsid w:val="00D3120C"/>
    <w:rsid w:val="00D32973"/>
    <w:rsid w:val="00D33C1F"/>
    <w:rsid w:val="00D418DA"/>
    <w:rsid w:val="00D41EF8"/>
    <w:rsid w:val="00D43BD4"/>
    <w:rsid w:val="00D5220C"/>
    <w:rsid w:val="00D55752"/>
    <w:rsid w:val="00D61AC2"/>
    <w:rsid w:val="00D64B0D"/>
    <w:rsid w:val="00D80155"/>
    <w:rsid w:val="00D93613"/>
    <w:rsid w:val="00D94745"/>
    <w:rsid w:val="00DA32A3"/>
    <w:rsid w:val="00DA769D"/>
    <w:rsid w:val="00DB6B79"/>
    <w:rsid w:val="00DC7B25"/>
    <w:rsid w:val="00DD1705"/>
    <w:rsid w:val="00DE1853"/>
    <w:rsid w:val="00DE66EC"/>
    <w:rsid w:val="00DF5562"/>
    <w:rsid w:val="00E020E4"/>
    <w:rsid w:val="00E072DD"/>
    <w:rsid w:val="00E13E09"/>
    <w:rsid w:val="00E20B9F"/>
    <w:rsid w:val="00E21C58"/>
    <w:rsid w:val="00E2610E"/>
    <w:rsid w:val="00E2690B"/>
    <w:rsid w:val="00E31CB7"/>
    <w:rsid w:val="00E43848"/>
    <w:rsid w:val="00E64896"/>
    <w:rsid w:val="00E666CB"/>
    <w:rsid w:val="00E77D90"/>
    <w:rsid w:val="00E84182"/>
    <w:rsid w:val="00E8469F"/>
    <w:rsid w:val="00E84A9F"/>
    <w:rsid w:val="00E868BB"/>
    <w:rsid w:val="00E91567"/>
    <w:rsid w:val="00E94D99"/>
    <w:rsid w:val="00E97257"/>
    <w:rsid w:val="00EA44B0"/>
    <w:rsid w:val="00EB0E40"/>
    <w:rsid w:val="00EB3444"/>
    <w:rsid w:val="00EB46EE"/>
    <w:rsid w:val="00ED62B3"/>
    <w:rsid w:val="00ED69A3"/>
    <w:rsid w:val="00EE38B2"/>
    <w:rsid w:val="00EF015F"/>
    <w:rsid w:val="00F00321"/>
    <w:rsid w:val="00F10B16"/>
    <w:rsid w:val="00F1125B"/>
    <w:rsid w:val="00F15BB1"/>
    <w:rsid w:val="00F22958"/>
    <w:rsid w:val="00F30AEE"/>
    <w:rsid w:val="00F4207C"/>
    <w:rsid w:val="00F427BD"/>
    <w:rsid w:val="00F52E88"/>
    <w:rsid w:val="00F60619"/>
    <w:rsid w:val="00F6167A"/>
    <w:rsid w:val="00F61977"/>
    <w:rsid w:val="00F7330C"/>
    <w:rsid w:val="00F7483E"/>
    <w:rsid w:val="00F75C6E"/>
    <w:rsid w:val="00F75D00"/>
    <w:rsid w:val="00F80163"/>
    <w:rsid w:val="00F82A26"/>
    <w:rsid w:val="00FB24B6"/>
    <w:rsid w:val="00FB640E"/>
    <w:rsid w:val="00FC5043"/>
    <w:rsid w:val="00FC7642"/>
    <w:rsid w:val="00FD3732"/>
    <w:rsid w:val="00FD4F64"/>
    <w:rsid w:val="00FE2BCB"/>
    <w:rsid w:val="00FE3CE0"/>
    <w:rsid w:val="00FF1CC1"/>
    <w:rsid w:val="00FF4EF2"/>
    <w:rsid w:val="00FF7D05"/>
    <w:rsid w:val="032B563A"/>
    <w:rsid w:val="05B52B9A"/>
    <w:rsid w:val="06732DD2"/>
    <w:rsid w:val="085E6AD7"/>
    <w:rsid w:val="0DB65122"/>
    <w:rsid w:val="0F3427CC"/>
    <w:rsid w:val="1A2F2CDE"/>
    <w:rsid w:val="22D24584"/>
    <w:rsid w:val="28E514B5"/>
    <w:rsid w:val="33235B82"/>
    <w:rsid w:val="35AB75E3"/>
    <w:rsid w:val="43B92316"/>
    <w:rsid w:val="4CC0176E"/>
    <w:rsid w:val="585A72B9"/>
    <w:rsid w:val="5D645DC6"/>
    <w:rsid w:val="5DC35E9E"/>
    <w:rsid w:val="62C73063"/>
    <w:rsid w:val="683706DE"/>
    <w:rsid w:val="6BD10B8D"/>
    <w:rsid w:val="73934CBE"/>
    <w:rsid w:val="793C73D4"/>
    <w:rsid w:val="7CCA791B"/>
    <w:rsid w:val="7FA1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6783"/>
  <w15:docId w15:val="{8107D9D2-BC3C-49E2-AAB3-D91743ED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uiPriority w:val="99"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link w:val="ae"/>
    <w:uiPriority w:val="99"/>
    <w:unhideWhenUsed/>
    <w:qFormat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6">
    <w:name w:val="纯文本 字符"/>
    <w:basedOn w:val="a0"/>
    <w:link w:val="a5"/>
    <w:uiPriority w:val="99"/>
    <w:qFormat/>
    <w:rPr>
      <w:rFonts w:ascii="仿宋_GB2312" w:eastAsia="宋体" w:hAnsi="Times New Roman" w:cs="Times New Roman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bstract-text">
    <w:name w:val="abstract-text"/>
    <w:basedOn w:val="a0"/>
    <w:qFormat/>
  </w:style>
  <w:style w:type="character" w:customStyle="1" w:styleId="content-right8zs40">
    <w:name w:val="content-right_8zs40"/>
    <w:basedOn w:val="a0"/>
    <w:qFormat/>
  </w:style>
  <w:style w:type="character" w:customStyle="1" w:styleId="ae">
    <w:name w:val="普通(网站) 字符"/>
    <w:basedOn w:val="a0"/>
    <w:link w:val="ad"/>
    <w:uiPriority w:val="99"/>
    <w:qFormat/>
    <w:rPr>
      <w:rFonts w:ascii="Arial" w:eastAsiaTheme="minorEastAsia" w:hAnsi="Arial" w:cs="Arial"/>
      <w:color w:val="000000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sz w:val="24"/>
      <w:szCs w:val="24"/>
    </w:rPr>
  </w:style>
  <w:style w:type="character" w:customStyle="1" w:styleId="Char">
    <w:name w:val="正文文本 Char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/link?url=ume1CWLrIky78DtvTcP4cSRzT80CRRkgiG2fm0p8EOwoQdSV1ef2bogeYmOhvSUBIwvb7nT9v7i5qnClzot3NWiTh2b-Gm_uCEL1XQ_ar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398</Words>
  <Characters>2270</Characters>
  <Application>Microsoft Office Word</Application>
  <DocSecurity>0</DocSecurity>
  <Lines>18</Lines>
  <Paragraphs>5</Paragraphs>
  <ScaleCrop>false</ScaleCrop>
  <Company>中国石油大学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王彩红</dc:creator>
  <cp:lastModifiedBy>dell</cp:lastModifiedBy>
  <cp:revision>29</cp:revision>
  <cp:lastPrinted>2024-07-02T13:56:00Z</cp:lastPrinted>
  <dcterms:created xsi:type="dcterms:W3CDTF">2025-04-16T03:46:00Z</dcterms:created>
  <dcterms:modified xsi:type="dcterms:W3CDTF">2025-04-16T10:29:00Z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7545B11503B54F5C9AB7E8C1CA5F5284_13</vt:lpwstr>
  </property>
  <property fmtid="{D5CDD505-2E9C-101B-9397-08002B2CF9AE}" pid="4" name="KSOTemplateDocerSaveRecord">
    <vt:lpwstr>eyJoZGlkIjoiOWI0NDg3Y2E4NTkwZDdlZTdlZmM4MmVkNDEzZjhhMjYiLCJ1c2VySWQiOiI0NjA3MTIyOTkifQ==</vt:lpwstr>
  </property>
</Properties>
</file>